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AF7F0"/>
  <w:body>
    <w:p>
      <w:pPr>
        <w:spacing w:after="0" w:before="0"/>
      </w:pPr>
      <w:r>
        <w:drawing>
          <wp:inline distT="0" distB="0" distL="0" distR="0">
            <wp:extent cx="5328000" cy="7560000"/>
            <wp:effectExtent t="0" r="0" b="0" l="0"/>
            <wp:docPr id="1" name="cover" descr="Workshop cover page"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328000" cy="7560000"/>
                    </a:xfrm>
                    <a:prstGeom prst="rect">
                      <a:avLst/>
                    </a:prstGeom>
                  </pic:spPr>
                </pic:pic>
              </a:graphicData>
            </a:graphic>
          </wp:inline>
        </w:drawing>
      </w:r>
    </w:p>
    <w:p>
      <w:pPr>
        <w:sectPr>
          <w:pgSz w:w="8391" w:h="11906" w:orient="portrait"/>
          <w:pgMar w:top="0" w:right="0" w:bottom="0" w:left="0" w:header="708" w:footer="708" w:gutter="0"/>
          <w:pgNumType/>
          <w:docGrid w:linePitch="360"/>
        </w:sectPr>
      </w:pPr>
    </w:p>
    <w:p>
      <w:pPr>
        <w:spacing w:after="200"/>
        <w:jc w:val="center"/>
      </w:pPr>
      <w:r>
        <w:rPr>
          <w:rFonts w:ascii="Arial" w:cs="Arial" w:eastAsia="Arial" w:hAnsi="Arial"/>
          <w:b/>
          <w:bCs/>
          <w:i w:val="false"/>
          <w:iCs w:val="false"/>
          <w:color w:val="1A3C6E"/>
          <w:sz w:val="28"/>
          <w:szCs w:val="28"/>
        </w:rPr>
        <w:t xml:space="preserve">关于本次研讨会 / About This Workshop</w:t>
      </w:r>
    </w:p>
    <w:p>
      <w:pPr>
        <w:spacing w:after="120"/>
        <w:jc w:val="both"/>
      </w:pPr>
      <w:r>
        <w:rPr>
          <w:rFonts w:ascii="Arial" w:cs="Arial" w:eastAsia="Arial" w:hAnsi="Arial"/>
          <w:b w:val="false"/>
          <w:bCs w:val="false"/>
          <w:i w:val="false"/>
          <w:iCs w:val="false"/>
          <w:color w:val="000000"/>
          <w:sz w:val="20"/>
          <w:szCs w:val="20"/>
        </w:rPr>
        <w:t xml:space="preserve">This workshop brings together scholars from China, Southeast Europe, and beyond to explore questions of socialist governance in the twenty-first century. Spanning political economy, philosophy, law, intellectual history, and digital transformation, the workshop seeks to foster cross-cultural and cross-disciplinary dialogue on the challenges, possibilities, and futures of socialism.</w:t>
      </w:r>
    </w:p>
    <w:p>
      <w:pPr>
        <w:spacing w:after="200"/>
        <w:jc w:val="both"/>
      </w:pPr>
      <w:r>
        <w:rPr>
          <w:rFonts w:ascii="Arial" w:cs="Arial" w:eastAsia="Arial" w:hAnsi="Arial"/>
          <w:b w:val="false"/>
          <w:bCs w:val="false"/>
          <w:i w:val="false"/>
          <w:iCs w:val="false"/>
          <w:color w:val="333333"/>
          <w:sz w:val="19"/>
          <w:szCs w:val="19"/>
        </w:rPr>
        <w:t xml:space="preserve">本研讨会汇集来自中国、东南欧及其他地区的学者，共同探讨二十一世纪社会主义治理问题。研讨会涵盖政治经济学、哲学、法学、思想史和数字化转型等领域，旨在促进跨文化、跨学科对话，探讨社会主义的挑战、可能性与未来。</w:t>
      </w:r>
    </w:p>
    <w:p>
      <w:pPr>
        <w:pBdr>
          <w:bottom w:val="single" w:color="CC2222" w:sz="4" w:space="4"/>
        </w:pBdr>
        <w:spacing w:after="200"/>
      </w:pPr>
    </w:p>
    <w:p>
      <w:pPr>
        <w:spacing w:after="200"/>
        <w:jc w:val="left"/>
      </w:pPr>
      <w:r>
        <w:rPr>
          <w:rFonts w:ascii="Arial" w:cs="Arial" w:eastAsia="Arial" w:hAnsi="Arial"/>
          <w:b/>
          <w:bCs/>
          <w:i w:val="false"/>
          <w:iCs w:val="false"/>
          <w:color w:val="1A3C6E"/>
          <w:sz w:val="24"/>
          <w:szCs w:val="24"/>
        </w:rPr>
        <w:t xml:space="preserve">主办机构 / Organizers</w:t>
      </w:r>
    </w:p>
    <w:p>
      <w:pPr>
        <w:spacing w:after="40"/>
        <w:jc w:val="left"/>
      </w:pPr>
      <w:r>
        <w:rPr>
          <w:rFonts w:ascii="Arial" w:cs="Arial" w:eastAsia="Arial" w:hAnsi="Arial"/>
          <w:b/>
          <w:bCs/>
          <w:i w:val="false"/>
          <w:iCs w:val="false"/>
          <w:color w:val="0A1628"/>
          <w:sz w:val="22"/>
          <w:szCs w:val="22"/>
        </w:rPr>
        <w:t xml:space="preserve">华东师范大学马克思主义学院</w:t>
      </w:r>
    </w:p>
    <w:p>
      <w:pPr>
        <w:spacing w:after="80"/>
        <w:jc w:val="left"/>
      </w:pPr>
      <w:r>
        <w:rPr>
          <w:rFonts w:ascii="Arial" w:cs="Arial" w:eastAsia="Arial" w:hAnsi="Arial"/>
          <w:b w:val="false"/>
          <w:bCs w:val="false"/>
          <w:i w:val="false"/>
          <w:iCs w:val="false"/>
          <w:color w:val="2B5A8C"/>
          <w:sz w:val="18"/>
          <w:szCs w:val="18"/>
        </w:rPr>
        <w:t xml:space="preserve">School of Marxism, East China Normal University</w:t>
      </w:r>
    </w:p>
    <w:p>
      <w:pPr>
        <w:spacing w:after="60"/>
        <w:jc w:val="both"/>
      </w:pPr>
      <w:r>
        <w:rPr>
          <w:rFonts w:ascii="Arial" w:cs="Arial" w:eastAsia="Arial" w:hAnsi="Arial"/>
          <w:b w:val="false"/>
          <w:bCs w:val="false"/>
          <w:i w:val="false"/>
          <w:iCs w:val="false"/>
          <w:color w:val="000000"/>
          <w:sz w:val="18"/>
          <w:szCs w:val="18"/>
        </w:rPr>
        <w:t xml:space="preserve">The School of Marxism at ECNU is a leading institution for Marxist theory research and education in China, dedicated to the study of socialism with Chinese characteristics, political economy, and the history of the Chinese Communist Party.</w:t>
      </w:r>
    </w:p>
    <w:p>
      <w:pPr>
        <w:spacing w:after="120"/>
        <w:jc w:val="both"/>
      </w:pPr>
      <w:r>
        <w:rPr>
          <w:rFonts w:ascii="Arial" w:cs="Arial" w:eastAsia="Arial" w:hAnsi="Arial"/>
          <w:b w:val="false"/>
          <w:bCs w:val="false"/>
          <w:i w:val="false"/>
          <w:iCs w:val="false"/>
          <w:color w:val="333333"/>
          <w:sz w:val="17"/>
          <w:szCs w:val="17"/>
        </w:rPr>
        <w:t xml:space="preserve">华东师范大学马克思主义学院是中国马克思主义理论研究与教育的重要机构，致力于中国特色社会主义、政治经济学和中国共产党历史的研究。</w:t>
      </w:r>
    </w:p>
    <w:p>
      <w:pPr>
        <w:spacing w:after="120"/>
        <w:jc w:val="center"/>
      </w:pPr>
      <w:r>
        <w:rPr>
          <w:rFonts w:ascii="Arial" w:cs="Arial" w:eastAsia="Arial" w:hAnsi="Arial"/>
          <w:b w:val="false"/>
          <w:bCs w:val="false"/>
          <w:i w:val="false"/>
          <w:iCs w:val="false"/>
          <w:color w:val="CC2222"/>
          <w:sz w:val="14"/>
          <w:szCs w:val="14"/>
        </w:rPr>
        <w:t xml:space="preserve">■   ■   ■</w:t>
      </w:r>
    </w:p>
    <w:p>
      <w:pPr>
        <w:spacing w:after="40"/>
        <w:jc w:val="left"/>
      </w:pPr>
      <w:r>
        <w:rPr>
          <w:rFonts w:ascii="Arial" w:cs="Arial" w:eastAsia="Arial" w:hAnsi="Arial"/>
          <w:b/>
          <w:bCs/>
          <w:i w:val="false"/>
          <w:iCs w:val="false"/>
          <w:color w:val="0A1628"/>
          <w:sz w:val="22"/>
          <w:szCs w:val="22"/>
        </w:rPr>
        <w:t xml:space="preserve">贝尔格莱德大学哲学与社会理论研究所</w:t>
      </w:r>
    </w:p>
    <w:p>
      <w:pPr>
        <w:spacing w:after="80"/>
        <w:jc w:val="left"/>
      </w:pPr>
      <w:r>
        <w:rPr>
          <w:rFonts w:ascii="Arial" w:cs="Arial" w:eastAsia="Arial" w:hAnsi="Arial"/>
          <w:b w:val="false"/>
          <w:bCs w:val="false"/>
          <w:i w:val="false"/>
          <w:iCs w:val="false"/>
          <w:color w:val="2B5A8C"/>
          <w:sz w:val="18"/>
          <w:szCs w:val="18"/>
        </w:rPr>
        <w:t xml:space="preserve">Institute for Philosophy and Social Theory (IFDT), University of Belgrade</w:t>
      </w:r>
    </w:p>
    <w:p>
      <w:pPr>
        <w:spacing w:after="60"/>
        <w:jc w:val="both"/>
      </w:pPr>
      <w:r>
        <w:rPr>
          <w:rFonts w:ascii="Arial" w:cs="Arial" w:eastAsia="Arial" w:hAnsi="Arial"/>
          <w:b w:val="false"/>
          <w:bCs w:val="false"/>
          <w:i w:val="false"/>
          <w:iCs w:val="false"/>
          <w:color w:val="000000"/>
          <w:sz w:val="18"/>
          <w:szCs w:val="18"/>
        </w:rPr>
        <w:t xml:space="preserve">Founded in 1981, IFDT is a premier research institute in Southeast Europe devoted to philosophy, social theory, and political thought. It carries the intellectual legacy of the Yugoslav Praxis school and is committed to critical, interdisciplinary scholarship.</w:t>
      </w:r>
    </w:p>
    <w:p>
      <w:pPr>
        <w:spacing w:after="120"/>
        <w:jc w:val="both"/>
      </w:pPr>
      <w:r>
        <w:rPr>
          <w:rFonts w:ascii="Arial" w:cs="Arial" w:eastAsia="Arial" w:hAnsi="Arial"/>
          <w:b w:val="false"/>
          <w:bCs w:val="false"/>
          <w:i w:val="false"/>
          <w:iCs w:val="false"/>
          <w:color w:val="333333"/>
          <w:sz w:val="17"/>
          <w:szCs w:val="17"/>
        </w:rPr>
        <w:t xml:space="preserve">IFDT成立于1981年，是东南欧首屈一指的哲学、社会理论和政治思想研究机构。它承载着南斯拉夫实践派哲学的思想遗产，致力于批判性的跨学科学术研究。</w:t>
      </w:r>
    </w:p>
    <w:p>
      <w:pPr>
        <w:pBdr>
          <w:bottom w:val="single" w:color="CC2222" w:sz="4" w:space="4"/>
        </w:pBdr>
        <w:spacing w:after="200"/>
      </w:pPr>
    </w:p>
    <w:p>
      <w:pPr>
        <w:spacing w:after="200"/>
        <w:jc w:val="left"/>
      </w:pPr>
      <w:r>
        <w:rPr>
          <w:rFonts w:ascii="Arial" w:cs="Arial" w:eastAsia="Arial" w:hAnsi="Arial"/>
          <w:b/>
          <w:bCs/>
          <w:i w:val="false"/>
          <w:iCs w:val="false"/>
          <w:color w:val="1A3C6E"/>
          <w:sz w:val="24"/>
          <w:szCs w:val="24"/>
        </w:rPr>
        <w:t xml:space="preserve">会议地点 / Venue</w:t>
      </w:r>
    </w:p>
    <w:p>
      <w:pPr>
        <w:spacing w:after="40"/>
        <w:jc w:val="left"/>
      </w:pPr>
      <w:r>
        <w:rPr>
          <w:rFonts w:ascii="Arial" w:cs="Arial" w:eastAsia="Arial" w:hAnsi="Arial"/>
          <w:b/>
          <w:bCs/>
          <w:i w:val="false"/>
          <w:iCs w:val="false"/>
          <w:color w:val="0A1628"/>
          <w:sz w:val="22"/>
          <w:szCs w:val="22"/>
        </w:rPr>
        <w:t xml:space="preserve">华东师范大学普陀校区学术交流中心（逸夫楼）三楼多功能厅</w:t>
      </w:r>
    </w:p>
    <w:p>
      <w:pPr>
        <w:spacing w:after="80"/>
        <w:jc w:val="left"/>
      </w:pPr>
      <w:r>
        <w:rPr>
          <w:rFonts w:ascii="Arial" w:cs="Arial" w:eastAsia="Arial" w:hAnsi="Arial"/>
          <w:b w:val="false"/>
          <w:bCs w:val="false"/>
          <w:i w:val="false"/>
          <w:iCs w:val="false"/>
          <w:color w:val="2B5A8C"/>
          <w:sz w:val="18"/>
          <w:szCs w:val="18"/>
        </w:rPr>
        <w:t xml:space="preserve">Multi-Function Hall, 3F, Yifu Building, Putuo Campus, East China Normal University</w:t>
      </w:r>
    </w:p>
    <w:p>
      <w:pPr>
        <w:spacing w:after="40"/>
        <w:jc w:val="left"/>
      </w:pPr>
      <w:r>
        <w:rPr>
          <w:rFonts w:ascii="Arial" w:cs="Arial" w:eastAsia="Arial" w:hAnsi="Arial"/>
          <w:b w:val="false"/>
          <w:bCs w:val="false"/>
          <w:i w:val="false"/>
          <w:iCs w:val="false"/>
          <w:color w:val="333333"/>
          <w:sz w:val="18"/>
          <w:szCs w:val="18"/>
        </w:rPr>
        <w:t xml:space="preserve">上海市普陀区中山北路3663号</w:t>
      </w:r>
    </w:p>
    <w:p>
      <w:pPr>
        <w:spacing w:after="60"/>
        <w:jc w:val="left"/>
      </w:pPr>
      <w:r>
        <w:rPr>
          <w:rFonts w:ascii="Arial" w:cs="Arial" w:eastAsia="Arial" w:hAnsi="Arial"/>
          <w:b w:val="false"/>
          <w:bCs w:val="false"/>
          <w:i w:val="false"/>
          <w:iCs w:val="false"/>
          <w:color w:val="333333"/>
          <w:sz w:val="18"/>
          <w:szCs w:val="18"/>
        </w:rPr>
        <w:t xml:space="preserve">3663 North Zhongshan Road, Putuo District, Shanghai</w:t>
      </w:r>
    </w:p>
    <w:p>
      <w:pPr>
        <w:sectPr>
          <w:headerReference w:type="default" r:id="rId7"/>
          <w:footerReference w:type="default" r:id="rId8"/>
          <w:pgSz w:w="8391" w:h="11906" w:orient="portrait"/>
          <w:pgMar w:top="1000" w:right="900" w:bottom="1000" w:left="900" w:header="708" w:footer="708" w:gutter="0"/>
          <w:pgNumType/>
          <w:docGrid w:linePitch="360"/>
        </w:sectPr>
      </w:pPr>
    </w:p>
    <w:p>
      <w:pPr>
        <w:spacing w:after="40"/>
        <w:jc w:val="center"/>
      </w:pPr>
      <w:r>
        <w:rPr>
          <w:rFonts w:ascii="Arial" w:cs="Arial" w:eastAsia="Arial" w:hAnsi="Arial"/>
          <w:b/>
          <w:bCs/>
          <w:i w:val="false"/>
          <w:iCs w:val="false"/>
          <w:color w:val="1A3C6E"/>
          <w:sz w:val="32"/>
          <w:szCs w:val="32"/>
        </w:rPr>
        <w:t xml:space="preserve">日程安排</w:t>
      </w:r>
    </w:p>
    <w:p>
      <w:pPr>
        <w:spacing w:after="200"/>
        <w:jc w:val="center"/>
      </w:pPr>
      <w:r>
        <w:rPr>
          <w:rFonts w:ascii="Arial" w:cs="Arial" w:eastAsia="Arial" w:hAnsi="Arial"/>
          <w:b/>
          <w:bCs/>
          <w:i w:val="false"/>
          <w:iCs w:val="false"/>
          <w:color w:val="2B5A8C"/>
          <w:sz w:val="26"/>
          <w:szCs w:val="26"/>
        </w:rPr>
        <w:t xml:space="preserve">Programme</w:t>
      </w:r>
    </w:p>
    <w:p>
      <w:pPr>
        <w:spacing w:after="120"/>
        <w:jc w:val="left"/>
      </w:pPr>
      <w:r>
        <w:rPr>
          <w:rFonts w:ascii="Arial" w:cs="Arial" w:eastAsia="Arial" w:hAnsi="Arial"/>
          <w:b/>
          <w:bCs/>
          <w:i w:val="false"/>
          <w:iCs w:val="false"/>
          <w:color w:val="1A3C6E"/>
          <w:sz w:val="24"/>
          <w:szCs w:val="24"/>
        </w:rPr>
        <w:t xml:space="preserve">Day 1 — May 30 (第一天 — 5月30日)</w:t>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100"/>
        <w:gridCol w:w="2300"/>
        <w:gridCol w:w="3191"/>
      </w:tblGrid>
      <w:tr>
        <w:tc>
          <w:tcPr>
            <w:tcW w:type="dxa" w:w="1100"/>
            <w:tcBorders>
              <w:top w:val="single" w:color="D5CCBB" w:sz="1"/>
              <w:left w:val="single" w:color="D5CCBB" w:sz="1"/>
              <w:bottom w:val="single" w:color="D5CCBB" w:sz="1"/>
              <w:right w:val="single" w:color="D5CCBB" w:sz="1"/>
            </w:tcBorders>
            <w:shd w:fill="0A1628"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6"/>
                <w:szCs w:val="16"/>
              </w:rPr>
              <w:t xml:space="preserve">Time</w:t>
            </w:r>
          </w:p>
        </w:tc>
        <w:tc>
          <w:tcPr>
            <w:tcW w:type="dxa" w:w="2300"/>
            <w:tcBorders>
              <w:top w:val="single" w:color="D5CCBB" w:sz="1"/>
              <w:left w:val="single" w:color="D5CCBB" w:sz="1"/>
              <w:bottom w:val="single" w:color="D5CCBB" w:sz="1"/>
              <w:right w:val="single" w:color="D5CCBB" w:sz="1"/>
            </w:tcBorders>
            <w:shd w:fill="0A1628"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6"/>
                <w:szCs w:val="16"/>
              </w:rPr>
              <w:t xml:space="preserve">Speaker 报告人</w:t>
            </w:r>
          </w:p>
        </w:tc>
        <w:tc>
          <w:tcPr>
            <w:tcW w:type="dxa" w:w="3191"/>
            <w:tcBorders>
              <w:top w:val="single" w:color="D5CCBB" w:sz="1"/>
              <w:left w:val="single" w:color="D5CCBB" w:sz="1"/>
              <w:bottom w:val="single" w:color="D5CCBB" w:sz="1"/>
              <w:right w:val="single" w:color="D5CCBB" w:sz="1"/>
            </w:tcBorders>
            <w:shd w:fill="0A1628"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6"/>
                <w:szCs w:val="16"/>
              </w:rPr>
              <w:t xml:space="preserve">Title 题目</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08:30–09:00 | Registration and Coffee 签到</w:t>
            </w:r>
          </w:p>
        </w:tc>
      </w:tr>
      <w:tr>
        <w:tc>
          <w:tcPr>
            <w:tcW w:type="dxa" w:w="6591"/>
            <w:gridSpan w:val="3"/>
            <w:tcBorders>
              <w:top w:val="single" w:color="D5CCBB" w:sz="1"/>
              <w:left w:val="single" w:color="D5CCBB" w:sz="1"/>
              <w:bottom w:val="single" w:color="D5CCBB" w:sz="1"/>
              <w:right w:val="single" w:color="D5CCBB" w:sz="1"/>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8"/>
                <w:szCs w:val="18"/>
              </w:rPr>
              <w:t xml:space="preserve">OPENING CEREMONY 开幕式 (09:00–09:30)</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09:00–09:10</w:t>
            </w:r>
          </w:p>
        </w:tc>
        <w:tc>
          <w:tcPr>
            <w:tcW w:type="dxa" w:w="5491"/>
            <w:gridSpan w:val="2"/>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Yang Junling 杨峻岭</w:t>
            </w:r>
          </w:p>
          <w:p>
            <w:pPr>
              <w:spacing w:after="10"/>
              <w:jc w:val="left"/>
            </w:pPr>
            <w:r>
              <w:rPr>
                <w:rFonts w:ascii="Arial" w:cs="Arial" w:eastAsia="Arial" w:hAnsi="Arial"/>
                <w:b w:val="false"/>
                <w:bCs w:val="false"/>
                <w:i/>
                <w:iCs/>
                <w:color w:val="555555"/>
                <w:sz w:val="13"/>
                <w:szCs w:val="13"/>
              </w:rPr>
              <w:t xml:space="preserve">Dean, School of Marxism, ECNU</w:t>
            </w:r>
          </w:p>
          <w:p>
            <w:pPr>
              <w:spacing w:after="20"/>
              <w:jc w:val="left"/>
            </w:pPr>
            <w:r>
              <w:rPr>
                <w:rFonts w:ascii="Arial" w:cs="Arial" w:eastAsia="Arial" w:hAnsi="Arial"/>
                <w:b w:val="false"/>
                <w:bCs w:val="false"/>
                <w:i/>
                <w:iCs/>
                <w:color w:val="555555"/>
                <w:sz w:val="13"/>
                <w:szCs w:val="13"/>
              </w:rPr>
              <w:t xml:space="preserve">华东师范大学马克思主义学院院长</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09:20–09:30</w:t>
            </w:r>
          </w:p>
        </w:tc>
        <w:tc>
          <w:tcPr>
            <w:tcW w:type="dxa" w:w="5491"/>
            <w:gridSpan w:val="2"/>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Aleksandar Stojanović</w:t>
            </w:r>
          </w:p>
          <w:p>
            <w:pPr>
              <w:spacing w:after="10"/>
              <w:jc w:val="left"/>
            </w:pPr>
            <w:r>
              <w:rPr>
                <w:rFonts w:ascii="Arial" w:cs="Arial" w:eastAsia="Arial" w:hAnsi="Arial"/>
                <w:b w:val="false"/>
                <w:bCs w:val="false"/>
                <w:i/>
                <w:iCs/>
                <w:color w:val="555555"/>
                <w:sz w:val="13"/>
                <w:szCs w:val="13"/>
              </w:rPr>
              <w:t xml:space="preserve">NYU Shanghai / IFDT Belgrade</w:t>
            </w:r>
          </w:p>
          <w:p>
            <w:pPr>
              <w:spacing w:after="20"/>
              <w:jc w:val="left"/>
            </w:pPr>
            <w:r>
              <w:rPr>
                <w:rFonts w:ascii="Arial" w:cs="Arial" w:eastAsia="Arial" w:hAnsi="Arial"/>
                <w:b w:val="false"/>
                <w:bCs w:val="false"/>
                <w:i/>
                <w:iCs/>
                <w:color w:val="555555"/>
                <w:sz w:val="13"/>
                <w:szCs w:val="13"/>
              </w:rPr>
              <w:t xml:space="preserve">纽约大学上海 / 贝尔格莱德大学IFDT</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09:30–09:45 | Coffee Break 茶歇</w:t>
            </w:r>
          </w:p>
        </w:tc>
      </w:tr>
      <w:tr>
        <w:tc>
          <w:tcPr>
            <w:tcW w:type="dxa" w:w="6591"/>
            <w:gridSpan w:val="3"/>
            <w:tcBorders>
              <w:top w:val="single" w:color="D5CCBB" w:sz="1"/>
              <w:left w:val="single" w:color="D5CCBB" w:sz="1"/>
              <w:bottom w:val="single" w:color="D5CCBB" w:sz="1"/>
              <w:right w:val="single" w:color="D5CCBB" w:sz="1"/>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8"/>
                <w:szCs w:val="18"/>
              </w:rPr>
              <w:t xml:space="preserve">PANEL 1 专题研讨（一） (09:45–12:35)</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
            </w:r>
          </w:p>
        </w:tc>
        <w:tc>
          <w:tcPr>
            <w:tcW w:type="dxa" w:w="5491"/>
            <w:gridSpan w:val="2"/>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Chair 主持: Yang Junling 杨峻岭</w:t>
            </w:r>
          </w:p>
          <w:p>
            <w:pPr>
              <w:spacing w:after="10"/>
              <w:jc w:val="left"/>
            </w:pPr>
            <w:r>
              <w:rPr>
                <w:rFonts w:ascii="Arial" w:cs="Arial" w:eastAsia="Arial" w:hAnsi="Arial"/>
                <w:b w:val="false"/>
                <w:bCs w:val="false"/>
                <w:i/>
                <w:iCs/>
                <w:color w:val="555555"/>
                <w:sz w:val="13"/>
                <w:szCs w:val="13"/>
              </w:rPr>
              <w:t xml:space="preserve">Dean, School of Marxism, ECNU</w:t>
            </w:r>
          </w:p>
          <w:p>
            <w:pPr>
              <w:spacing w:after="20"/>
              <w:jc w:val="left"/>
            </w:pPr>
            <w:r>
              <w:rPr>
                <w:rFonts w:ascii="Arial" w:cs="Arial" w:eastAsia="Arial" w:hAnsi="Arial"/>
                <w:b w:val="false"/>
                <w:bCs w:val="false"/>
                <w:i/>
                <w:iCs/>
                <w:color w:val="555555"/>
                <w:sz w:val="13"/>
                <w:szCs w:val="13"/>
              </w:rPr>
              <w:t xml:space="preserve">华东师范大学马克思主义学院院长</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09:45-09:57</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Wu Qiantao 吴潜涛</w:t>
            </w:r>
          </w:p>
          <w:p>
            <w:pPr>
              <w:spacing w:after="10"/>
              <w:jc w:val="left"/>
            </w:pPr>
            <w:r>
              <w:rPr>
                <w:rFonts w:ascii="Arial" w:cs="Arial" w:eastAsia="Arial" w:hAnsi="Arial"/>
                <w:b w:val="false"/>
                <w:bCs w:val="false"/>
                <w:i/>
                <w:iCs/>
                <w:color w:val="555555"/>
                <w:sz w:val="13"/>
                <w:szCs w:val="13"/>
              </w:rPr>
              <w:t xml:space="preserve">Tsinghua University</w:t>
            </w:r>
          </w:p>
          <w:p>
            <w:pPr>
              <w:spacing w:after="20"/>
              <w:jc w:val="left"/>
            </w:pPr>
            <w:r>
              <w:rPr>
                <w:rFonts w:ascii="Arial" w:cs="Arial" w:eastAsia="Arial" w:hAnsi="Arial"/>
                <w:b w:val="false"/>
                <w:bCs w:val="false"/>
                <w:i/>
                <w:iCs/>
                <w:color w:val="555555"/>
                <w:sz w:val="13"/>
                <w:szCs w:val="13"/>
              </w:rPr>
              <w:t xml:space="preserve">清华大学</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Value Implication of Chinese Modernization</w:t>
            </w:r>
          </w:p>
          <w:p>
            <w:pPr>
              <w:spacing w:after="20"/>
              <w:jc w:val="left"/>
            </w:pPr>
            <w:r>
              <w:rPr>
                <w:rFonts w:ascii="Arial" w:cs="Arial" w:eastAsia="Arial" w:hAnsi="Arial"/>
                <w:b w:val="false"/>
                <w:bCs w:val="false"/>
                <w:i/>
                <w:iCs/>
                <w:color w:val="555555"/>
                <w:sz w:val="13"/>
                <w:szCs w:val="13"/>
              </w:rPr>
              <w:t xml:space="preserve">中国式现代化的价值底蕴</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09:57-10:09</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Clara Mattei</w:t>
            </w:r>
          </w:p>
          <w:p>
            <w:pPr>
              <w:spacing w:after="10"/>
              <w:jc w:val="left"/>
            </w:pPr>
            <w:r>
              <w:rPr>
                <w:rFonts w:ascii="Arial" w:cs="Arial" w:eastAsia="Arial" w:hAnsi="Arial"/>
                <w:b w:val="false"/>
                <w:bCs w:val="false"/>
                <w:i/>
                <w:iCs/>
                <w:color w:val="555555"/>
                <w:sz w:val="13"/>
                <w:szCs w:val="13"/>
              </w:rPr>
              <w:t xml:space="preserve">University of Tulsa, USA</w:t>
            </w:r>
          </w:p>
          <w:p>
            <w:pPr>
              <w:spacing w:after="20"/>
              <w:jc w:val="left"/>
            </w:pPr>
            <w:r>
              <w:rPr>
                <w:rFonts w:ascii="Arial" w:cs="Arial" w:eastAsia="Arial" w:hAnsi="Arial"/>
                <w:b w:val="false"/>
                <w:bCs w:val="false"/>
                <w:i/>
                <w:iCs/>
                <w:color w:val="555555"/>
                <w:sz w:val="13"/>
                <w:szCs w:val="13"/>
              </w:rPr>
              <w:t xml:space="preserve">塔尔萨大学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Escape from Capitalism: The Economy Is Political and Other Liberating Truths</w:t>
            </w:r>
          </w:p>
          <w:p>
            <w:pPr>
              <w:spacing w:after="20"/>
              <w:jc w:val="left"/>
            </w:pPr>
            <w:r>
              <w:rPr>
                <w:rFonts w:ascii="Arial" w:cs="Arial" w:eastAsia="Arial" w:hAnsi="Arial"/>
                <w:b w:val="false"/>
                <w:bCs w:val="false"/>
                <w:i/>
                <w:iCs/>
                <w:color w:val="555555"/>
                <w:sz w:val="13"/>
                <w:szCs w:val="13"/>
              </w:rPr>
              <w:t xml:space="preserve">逃离资本主义：经济是政治性的，以及其他解放性的真理</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10:09-10:21</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Wang Binglin 王炳林</w:t>
            </w:r>
          </w:p>
          <w:p>
            <w:pPr>
              <w:spacing w:after="10"/>
              <w:jc w:val="left"/>
            </w:pPr>
            <w:r>
              <w:rPr>
                <w:rFonts w:ascii="Arial" w:cs="Arial" w:eastAsia="Arial" w:hAnsi="Arial"/>
                <w:b w:val="false"/>
                <w:bCs w:val="false"/>
                <w:i/>
                <w:iCs/>
                <w:color w:val="555555"/>
                <w:sz w:val="13"/>
                <w:szCs w:val="13"/>
              </w:rPr>
              <w:t xml:space="preserve">Beijing Normal University</w:t>
            </w:r>
          </w:p>
          <w:p>
            <w:pPr>
              <w:spacing w:after="20"/>
              <w:jc w:val="left"/>
            </w:pPr>
            <w:r>
              <w:rPr>
                <w:rFonts w:ascii="Arial" w:cs="Arial" w:eastAsia="Arial" w:hAnsi="Arial"/>
                <w:b w:val="false"/>
                <w:bCs w:val="false"/>
                <w:i/>
                <w:iCs/>
                <w:color w:val="555555"/>
                <w:sz w:val="13"/>
                <w:szCs w:val="13"/>
              </w:rPr>
              <w:t xml:space="preserve">北京师范大学</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Chinese-Style Modernization and High-Level Opening Up</w:t>
            </w:r>
          </w:p>
          <w:p>
            <w:pPr>
              <w:spacing w:after="20"/>
              <w:jc w:val="left"/>
            </w:pPr>
            <w:r>
              <w:rPr>
                <w:rFonts w:ascii="Arial" w:cs="Arial" w:eastAsia="Arial" w:hAnsi="Arial"/>
                <w:b w:val="false"/>
                <w:bCs w:val="false"/>
                <w:i/>
                <w:iCs/>
                <w:color w:val="555555"/>
                <w:sz w:val="13"/>
                <w:szCs w:val="13"/>
              </w:rPr>
              <w:t xml:space="preserve">中国式现代化与高水平对外开放</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10:21-10:33</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Ulrich Klüh</w:t>
            </w:r>
          </w:p>
          <w:p>
            <w:pPr>
              <w:spacing w:after="10"/>
              <w:jc w:val="left"/>
            </w:pPr>
            <w:r>
              <w:rPr>
                <w:rFonts w:ascii="Arial" w:cs="Arial" w:eastAsia="Arial" w:hAnsi="Arial"/>
                <w:b w:val="false"/>
                <w:bCs w:val="false"/>
                <w:i/>
                <w:iCs/>
                <w:color w:val="555555"/>
                <w:sz w:val="13"/>
                <w:szCs w:val="13"/>
              </w:rPr>
              <w:t xml:space="preserve">Hochschule Darmstadt, Germany</w:t>
            </w:r>
          </w:p>
          <w:p>
            <w:pPr>
              <w:spacing w:after="20"/>
              <w:jc w:val="left"/>
            </w:pPr>
            <w:r>
              <w:rPr>
                <w:rFonts w:ascii="Arial" w:cs="Arial" w:eastAsia="Arial" w:hAnsi="Arial"/>
                <w:b w:val="false"/>
                <w:bCs w:val="false"/>
                <w:i/>
                <w:iCs/>
                <w:color w:val="555555"/>
                <w:sz w:val="13"/>
                <w:szCs w:val="13"/>
              </w:rPr>
              <w:t xml:space="preserve">达姆施塔特应用科技大学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The dialectics of economic enlightenment</w:t>
            </w:r>
          </w:p>
          <w:p>
            <w:pPr>
              <w:spacing w:after="20"/>
              <w:jc w:val="left"/>
            </w:pPr>
            <w:r>
              <w:rPr>
                <w:rFonts w:ascii="Arial" w:cs="Arial" w:eastAsia="Arial" w:hAnsi="Arial"/>
                <w:b w:val="false"/>
                <w:bCs w:val="false"/>
                <w:i/>
                <w:iCs/>
                <w:color w:val="555555"/>
                <w:sz w:val="13"/>
                <w:szCs w:val="13"/>
              </w:rPr>
              <w:t xml:space="preserve">经济启蒙的辩证法</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10:33-10:45</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Fan Heping 樊和平</w:t>
            </w:r>
          </w:p>
          <w:p>
            <w:pPr>
              <w:spacing w:after="10"/>
              <w:jc w:val="left"/>
            </w:pPr>
            <w:r>
              <w:rPr>
                <w:rFonts w:ascii="Arial" w:cs="Arial" w:eastAsia="Arial" w:hAnsi="Arial"/>
                <w:b w:val="false"/>
                <w:bCs w:val="false"/>
                <w:i/>
                <w:iCs/>
                <w:color w:val="555555"/>
                <w:sz w:val="13"/>
                <w:szCs w:val="13"/>
              </w:rPr>
              <w:t xml:space="preserve">Southeast University</w:t>
            </w:r>
          </w:p>
          <w:p>
            <w:pPr>
              <w:spacing w:after="20"/>
              <w:jc w:val="left"/>
            </w:pPr>
            <w:r>
              <w:rPr>
                <w:rFonts w:ascii="Arial" w:cs="Arial" w:eastAsia="Arial" w:hAnsi="Arial"/>
                <w:b w:val="false"/>
                <w:bCs w:val="false"/>
                <w:i/>
                <w:iCs/>
                <w:color w:val="555555"/>
                <w:sz w:val="13"/>
                <w:szCs w:val="13"/>
              </w:rPr>
              <w:t xml:space="preserve">东南大学</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The Ethical Civilization View: The 'Final Awakening' of Extraordinary Ethics</w:t>
            </w:r>
          </w:p>
          <w:p>
            <w:pPr>
              <w:spacing w:after="20"/>
              <w:jc w:val="left"/>
            </w:pPr>
            <w:r>
              <w:rPr>
                <w:rFonts w:ascii="Arial" w:cs="Arial" w:eastAsia="Arial" w:hAnsi="Arial"/>
                <w:b w:val="false"/>
                <w:bCs w:val="false"/>
                <w:i/>
                <w:iCs/>
                <w:color w:val="555555"/>
                <w:sz w:val="13"/>
                <w:szCs w:val="13"/>
              </w:rPr>
              <w:t xml:space="preserve">伦理文明观：非常伦理的'最后觉悟'</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10:45-10:57</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John Haskell</w:t>
            </w:r>
          </w:p>
          <w:p>
            <w:pPr>
              <w:spacing w:after="10"/>
              <w:jc w:val="left"/>
            </w:pPr>
            <w:r>
              <w:rPr>
                <w:rFonts w:ascii="Arial" w:cs="Arial" w:eastAsia="Arial" w:hAnsi="Arial"/>
                <w:b w:val="false"/>
                <w:bCs w:val="false"/>
                <w:i/>
                <w:iCs/>
                <w:color w:val="555555"/>
                <w:sz w:val="13"/>
                <w:szCs w:val="13"/>
              </w:rPr>
              <w:t xml:space="preserve">University of Manchester, UK</w:t>
            </w:r>
          </w:p>
          <w:p>
            <w:pPr>
              <w:spacing w:after="20"/>
              <w:jc w:val="left"/>
            </w:pPr>
            <w:r>
              <w:rPr>
                <w:rFonts w:ascii="Arial" w:cs="Arial" w:eastAsia="Arial" w:hAnsi="Arial"/>
                <w:b w:val="false"/>
                <w:bCs w:val="false"/>
                <w:i/>
                <w:iCs/>
                <w:color w:val="555555"/>
                <w:sz w:val="13"/>
                <w:szCs w:val="13"/>
              </w:rPr>
              <w:t xml:space="preserve">曼彻斯特大学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Global Law and Political Economy</w:t>
            </w:r>
          </w:p>
          <w:p>
            <w:pPr>
              <w:spacing w:after="20"/>
              <w:jc w:val="left"/>
            </w:pPr>
            <w:r>
              <w:rPr>
                <w:rFonts w:ascii="Arial" w:cs="Arial" w:eastAsia="Arial" w:hAnsi="Arial"/>
                <w:b w:val="false"/>
                <w:bCs w:val="false"/>
                <w:i/>
                <w:iCs/>
                <w:color w:val="555555"/>
                <w:sz w:val="13"/>
                <w:szCs w:val="13"/>
              </w:rPr>
              <w:t xml:space="preserve">全球法律与政治经济学</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10:57-11:09</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Evgeny Morozov</w:t>
            </w:r>
          </w:p>
          <w:p>
            <w:pPr>
              <w:spacing w:after="10"/>
              <w:jc w:val="left"/>
            </w:pPr>
            <w:r>
              <w:rPr>
                <w:rFonts w:ascii="Arial" w:cs="Arial" w:eastAsia="Arial" w:hAnsi="Arial"/>
                <w:b w:val="false"/>
                <w:bCs w:val="false"/>
                <w:i/>
                <w:iCs/>
                <w:color w:val="555555"/>
                <w:sz w:val="13"/>
                <w:szCs w:val="13"/>
              </w:rPr>
              <w:t xml:space="preserve">Author &amp; Researcher</w:t>
            </w:r>
          </w:p>
          <w:p>
            <w:pPr>
              <w:spacing w:after="20"/>
              <w:jc w:val="left"/>
            </w:pPr>
            <w:r>
              <w:rPr>
                <w:rFonts w:ascii="Arial" w:cs="Arial" w:eastAsia="Arial" w:hAnsi="Arial"/>
                <w:b w:val="false"/>
                <w:bCs w:val="false"/>
                <w:i/>
                <w:iCs/>
                <w:color w:val="555555"/>
                <w:sz w:val="13"/>
                <w:szCs w:val="13"/>
              </w:rPr>
              <w:t xml:space="preserve">作家与研究者</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Transcending the Socialist Calculation Debate in the Age of AI</w:t>
            </w:r>
          </w:p>
          <w:p>
            <w:pPr>
              <w:spacing w:after="20"/>
              <w:jc w:val="left"/>
            </w:pPr>
            <w:r>
              <w:rPr>
                <w:rFonts w:ascii="Arial" w:cs="Arial" w:eastAsia="Arial" w:hAnsi="Arial"/>
                <w:b w:val="false"/>
                <w:bCs w:val="false"/>
                <w:i/>
                <w:iCs/>
                <w:color w:val="555555"/>
                <w:sz w:val="13"/>
                <w:szCs w:val="13"/>
              </w:rPr>
              <w:t xml:space="preserve">人工智能时代超越社会主义计算辩论：从布达佩斯学派中汲取经验</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11:09-11:21</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Cui Zhiyuan 崔之元</w:t>
            </w:r>
          </w:p>
          <w:p>
            <w:pPr>
              <w:spacing w:after="10"/>
              <w:jc w:val="left"/>
            </w:pPr>
            <w:r>
              <w:rPr>
                <w:rFonts w:ascii="Arial" w:cs="Arial" w:eastAsia="Arial" w:hAnsi="Arial"/>
                <w:b w:val="false"/>
                <w:bCs w:val="false"/>
                <w:i/>
                <w:iCs/>
                <w:color w:val="555555"/>
                <w:sz w:val="13"/>
                <w:szCs w:val="13"/>
              </w:rPr>
              <w:t xml:space="preserve">Tsinghua University</w:t>
            </w:r>
          </w:p>
          <w:p>
            <w:pPr>
              <w:spacing w:after="20"/>
              <w:jc w:val="left"/>
            </w:pPr>
            <w:r>
              <w:rPr>
                <w:rFonts w:ascii="Arial" w:cs="Arial" w:eastAsia="Arial" w:hAnsi="Arial"/>
                <w:b w:val="false"/>
                <w:bCs w:val="false"/>
                <w:i/>
                <w:iCs/>
                <w:color w:val="555555"/>
                <w:sz w:val="13"/>
                <w:szCs w:val="13"/>
              </w:rPr>
              <w:t xml:space="preserve">清华大学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The Chinese Reform in light of Rawls/Meade 'Liberal Socialism'</w:t>
            </w:r>
          </w:p>
          <w:p>
            <w:pPr>
              <w:spacing w:after="20"/>
              <w:jc w:val="left"/>
            </w:pPr>
            <w:r>
              <w:rPr>
                <w:rFonts w:ascii="Arial" w:cs="Arial" w:eastAsia="Arial" w:hAnsi="Arial"/>
                <w:b w:val="false"/>
                <w:bCs w:val="false"/>
                <w:i/>
                <w:iCs/>
                <w:color w:val="555555"/>
                <w:sz w:val="13"/>
                <w:szCs w:val="13"/>
              </w:rPr>
              <w:t xml:space="preserve">从罗尔斯/米德的'自由社会主义'看中国改革</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11:21-12:35 | Q&amp;A and Discussion 问答与讨论</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12:35–14:00 | Lunch Break 午餐</w:t>
            </w:r>
          </w:p>
        </w:tc>
      </w:tr>
      <w:tr>
        <w:tc>
          <w:tcPr>
            <w:tcW w:type="dxa" w:w="6591"/>
            <w:gridSpan w:val="3"/>
            <w:tcBorders>
              <w:top w:val="single" w:color="D5CCBB" w:sz="1"/>
              <w:left w:val="single" w:color="D5CCBB" w:sz="1"/>
              <w:bottom w:val="single" w:color="D5CCBB" w:sz="1"/>
              <w:right w:val="single" w:color="D5CCBB" w:sz="1"/>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8"/>
                <w:szCs w:val="18"/>
              </w:rPr>
              <w:t xml:space="preserve">PANEL 2 专题研讨（二） (14:00–15:00)</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
            </w:r>
          </w:p>
        </w:tc>
        <w:tc>
          <w:tcPr>
            <w:tcW w:type="dxa" w:w="5491"/>
            <w:gridSpan w:val="2"/>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Chair 主持: Zhang Junhua 张俊华</w:t>
            </w:r>
          </w:p>
          <w:p>
            <w:pPr>
              <w:spacing w:after="10"/>
              <w:jc w:val="left"/>
            </w:pPr>
            <w:r>
              <w:rPr>
                <w:rFonts w:ascii="Arial" w:cs="Arial" w:eastAsia="Arial" w:hAnsi="Arial"/>
                <w:b w:val="false"/>
                <w:bCs w:val="false"/>
                <w:i/>
                <w:iCs/>
                <w:color w:val="555555"/>
                <w:sz w:val="13"/>
                <w:szCs w:val="13"/>
              </w:rPr>
              <w:t xml:space="preserve">School of Marxism, ECNU</w:t>
            </w:r>
          </w:p>
          <w:p>
            <w:pPr>
              <w:spacing w:after="20"/>
              <w:jc w:val="left"/>
            </w:pPr>
            <w:r>
              <w:rPr>
                <w:rFonts w:ascii="Arial" w:cs="Arial" w:eastAsia="Arial" w:hAnsi="Arial"/>
                <w:b w:val="false"/>
                <w:bCs w:val="false"/>
                <w:i/>
                <w:iCs/>
                <w:color w:val="555555"/>
                <w:sz w:val="13"/>
                <w:szCs w:val="13"/>
              </w:rPr>
              <w:t xml:space="preserve">华东师范大学马克思主义学院</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14:00–14:10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Liu Jianjun 刘建军</w:t>
            </w:r>
          </w:p>
          <w:p>
            <w:pPr>
              <w:spacing w:after="10"/>
              <w:jc w:val="left"/>
            </w:pPr>
            <w:r>
              <w:rPr>
                <w:rFonts w:ascii="Arial" w:cs="Arial" w:eastAsia="Arial" w:hAnsi="Arial"/>
                <w:b w:val="false"/>
                <w:bCs w:val="false"/>
                <w:i/>
                <w:iCs/>
                <w:color w:val="555555"/>
                <w:sz w:val="13"/>
                <w:szCs w:val="13"/>
              </w:rPr>
              <w:t xml:space="preserve">Renmin University of China</w:t>
            </w:r>
          </w:p>
          <w:p>
            <w:pPr>
              <w:spacing w:after="20"/>
              <w:jc w:val="left"/>
            </w:pPr>
            <w:r>
              <w:rPr>
                <w:rFonts w:ascii="Arial" w:cs="Arial" w:eastAsia="Arial" w:hAnsi="Arial"/>
                <w:b w:val="false"/>
                <w:bCs w:val="false"/>
                <w:i/>
                <w:iCs/>
                <w:color w:val="555555"/>
                <w:sz w:val="13"/>
                <w:szCs w:val="13"/>
              </w:rPr>
              <w:t xml:space="preserve">中国人民大学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A Conceptual Analysis of ‘Chinese-Style Modernization’</w:t>
            </w:r>
          </w:p>
          <w:p>
            <w:pPr>
              <w:spacing w:after="20"/>
              <w:jc w:val="left"/>
            </w:pPr>
            <w:r>
              <w:rPr>
                <w:rFonts w:ascii="Arial" w:cs="Arial" w:eastAsia="Arial" w:hAnsi="Arial"/>
                <w:b w:val="false"/>
                <w:bCs w:val="false"/>
                <w:i/>
                <w:iCs/>
                <w:color w:val="555555"/>
                <w:sz w:val="13"/>
                <w:szCs w:val="13"/>
              </w:rPr>
              <w:t xml:space="preserve">「中国式现代化」的概念辨析</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14:10–14:20</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Zhao Sikong 赵司空</w:t>
            </w:r>
          </w:p>
          <w:p>
            <w:pPr>
              <w:spacing w:after="10"/>
              <w:jc w:val="left"/>
            </w:pPr>
            <w:r>
              <w:rPr>
                <w:rFonts w:ascii="Arial" w:cs="Arial" w:eastAsia="Arial" w:hAnsi="Arial"/>
                <w:b w:val="false"/>
                <w:bCs w:val="false"/>
                <w:i/>
                <w:iCs/>
                <w:color w:val="555555"/>
                <w:sz w:val="13"/>
                <w:szCs w:val="13"/>
              </w:rPr>
              <w:t xml:space="preserve">Shanghai Academy of Social Sciences</w:t>
            </w:r>
          </w:p>
          <w:p>
            <w:pPr>
              <w:spacing w:after="20"/>
              <w:jc w:val="left"/>
            </w:pPr>
            <w:r>
              <w:rPr>
                <w:rFonts w:ascii="Arial" w:cs="Arial" w:eastAsia="Arial" w:hAnsi="Arial"/>
                <w:b w:val="false"/>
                <w:bCs w:val="false"/>
                <w:i/>
                <w:iCs/>
                <w:color w:val="555555"/>
                <w:sz w:val="13"/>
                <w:szCs w:val="13"/>
              </w:rPr>
              <w:t xml:space="preserve">上海社会科学院</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Daobi (倒逼): ‘Reverse Force’ on the Chinese Path to Modernization</w:t>
            </w:r>
          </w:p>
          <w:p>
            <w:pPr>
              <w:spacing w:after="20"/>
              <w:jc w:val="left"/>
            </w:pPr>
            <w:r>
              <w:rPr>
                <w:rFonts w:ascii="Arial" w:cs="Arial" w:eastAsia="Arial" w:hAnsi="Arial"/>
                <w:b w:val="false"/>
                <w:bCs w:val="false"/>
                <w:i/>
                <w:iCs/>
                <w:color w:val="555555"/>
                <w:sz w:val="13"/>
                <w:szCs w:val="13"/>
              </w:rPr>
              <w:t xml:space="preserve">倒逼：中国式现代化道路上的‘逆向力量’</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14:20–14:30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Andrea Jovanović</w:t>
            </w:r>
          </w:p>
          <w:p>
            <w:pPr>
              <w:spacing w:after="10"/>
              <w:jc w:val="left"/>
            </w:pPr>
            <w:r>
              <w:rPr>
                <w:rFonts w:ascii="Arial" w:cs="Arial" w:eastAsia="Arial" w:hAnsi="Arial"/>
                <w:b w:val="false"/>
                <w:bCs w:val="false"/>
                <w:i/>
                <w:iCs/>
                <w:color w:val="555555"/>
                <w:sz w:val="13"/>
                <w:szCs w:val="13"/>
              </w:rPr>
              <w:t xml:space="preserve">Institute for Political Studies, Belgrade</w:t>
            </w:r>
          </w:p>
          <w:p>
            <w:pPr>
              <w:spacing w:after="20"/>
              <w:jc w:val="left"/>
            </w:pPr>
            <w:r>
              <w:rPr>
                <w:rFonts w:ascii="Arial" w:cs="Arial" w:eastAsia="Arial" w:hAnsi="Arial"/>
                <w:b w:val="false"/>
                <w:bCs w:val="false"/>
                <w:i/>
                <w:iCs/>
                <w:color w:val="555555"/>
                <w:sz w:val="13"/>
                <w:szCs w:val="13"/>
              </w:rPr>
              <w:t xml:space="preserve">贝尔格莱德政治学研究所</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Beyond the Linguistic Turn: Chinese Marxism and the Divergent Genealogies of Twentieth-Century Marxist Thought</w:t>
            </w:r>
          </w:p>
          <w:p>
            <w:pPr>
              <w:spacing w:after="20"/>
              <w:jc w:val="left"/>
            </w:pPr>
            <w:r>
              <w:rPr>
                <w:rFonts w:ascii="Arial" w:cs="Arial" w:eastAsia="Arial" w:hAnsi="Arial"/>
                <w:b w:val="false"/>
                <w:bCs w:val="false"/>
                <w:i/>
                <w:iCs/>
                <w:color w:val="555555"/>
                <w:sz w:val="13"/>
                <w:szCs w:val="13"/>
              </w:rPr>
              <w:t xml:space="preserve">超越语言学转向：中国马克思主义与二十世纪马克思主义思想的分歧谱系</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14:30–14:40</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Vukan Marković</w:t>
            </w:r>
          </w:p>
          <w:p>
            <w:pPr>
              <w:spacing w:after="10"/>
              <w:jc w:val="left"/>
            </w:pPr>
            <w:r>
              <w:rPr>
                <w:rFonts w:ascii="Arial" w:cs="Arial" w:eastAsia="Arial" w:hAnsi="Arial"/>
                <w:b w:val="false"/>
                <w:bCs w:val="false"/>
                <w:i/>
                <w:iCs/>
                <w:color w:val="555555"/>
                <w:sz w:val="13"/>
                <w:szCs w:val="13"/>
              </w:rPr>
              <w:t xml:space="preserve">University of Cambridge / IFDT Belgrade</w:t>
            </w:r>
          </w:p>
          <w:p>
            <w:pPr>
              <w:spacing w:after="20"/>
              <w:jc w:val="left"/>
            </w:pPr>
            <w:r>
              <w:rPr>
                <w:rFonts w:ascii="Arial" w:cs="Arial" w:eastAsia="Arial" w:hAnsi="Arial"/>
                <w:b w:val="false"/>
                <w:bCs w:val="false"/>
                <w:i/>
                <w:iCs/>
                <w:color w:val="555555"/>
                <w:sz w:val="13"/>
                <w:szCs w:val="13"/>
              </w:rPr>
              <w:t xml:space="preserve">剑桥大学 / 贝尔格莱德IFDT</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Socialism, the State, and Historical Exhaustion: Rethinking the Legacy of Western Left</w:t>
            </w:r>
          </w:p>
          <w:p>
            <w:pPr>
              <w:spacing w:after="20"/>
              <w:jc w:val="left"/>
            </w:pPr>
            <w:r>
              <w:rPr>
                <w:rFonts w:ascii="Arial" w:cs="Arial" w:eastAsia="Arial" w:hAnsi="Arial"/>
                <w:b w:val="false"/>
                <w:bCs w:val="false"/>
                <w:i/>
                <w:iCs/>
                <w:color w:val="555555"/>
                <w:sz w:val="13"/>
                <w:szCs w:val="13"/>
              </w:rPr>
              <w:t xml:space="preserve">社会主义、国家与历史耗竭：重新思考西方左翼的遗产</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14:40–14:50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Jia Kai 贾开</w:t>
            </w:r>
          </w:p>
          <w:p>
            <w:pPr>
              <w:spacing w:after="10"/>
              <w:jc w:val="left"/>
            </w:pPr>
            <w:r>
              <w:rPr>
                <w:rFonts w:ascii="Arial" w:cs="Arial" w:eastAsia="Arial" w:hAnsi="Arial"/>
                <w:b w:val="false"/>
                <w:bCs w:val="false"/>
                <w:i/>
                <w:iCs/>
                <w:color w:val="555555"/>
                <w:sz w:val="13"/>
                <w:szCs w:val="13"/>
              </w:rPr>
              <w:t xml:space="preserve">Shanghai Jiao Tong University</w:t>
            </w:r>
          </w:p>
          <w:p>
            <w:pPr>
              <w:spacing w:after="20"/>
              <w:jc w:val="left"/>
            </w:pPr>
            <w:r>
              <w:rPr>
                <w:rFonts w:ascii="Arial" w:cs="Arial" w:eastAsia="Arial" w:hAnsi="Arial"/>
                <w:b w:val="false"/>
                <w:bCs w:val="false"/>
                <w:i/>
                <w:iCs/>
                <w:color w:val="555555"/>
                <w:sz w:val="13"/>
                <w:szCs w:val="13"/>
              </w:rPr>
              <w:t xml:space="preserve">上海交通大学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AI and the Possible Future of Economic Democracy in China</w:t>
            </w:r>
          </w:p>
          <w:p>
            <w:pPr>
              <w:spacing w:after="20"/>
              <w:jc w:val="left"/>
            </w:pPr>
            <w:r>
              <w:rPr>
                <w:rFonts w:ascii="Arial" w:cs="Arial" w:eastAsia="Arial" w:hAnsi="Arial"/>
                <w:b w:val="false"/>
                <w:bCs w:val="false"/>
                <w:i/>
                <w:iCs/>
                <w:color w:val="555555"/>
                <w:sz w:val="13"/>
                <w:szCs w:val="13"/>
              </w:rPr>
              <w:t xml:space="preserve">人工智能与中国经济民主的可能未来</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14:50–15:00 | Q&amp;A Discussion 问答讨论</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15:00–15:15 | Coffee Break 茶歇</w:t>
            </w:r>
          </w:p>
        </w:tc>
      </w:tr>
      <w:tr>
        <w:tc>
          <w:tcPr>
            <w:tcW w:type="dxa" w:w="6591"/>
            <w:gridSpan w:val="3"/>
            <w:tcBorders>
              <w:top w:val="single" w:color="D5CCBB" w:sz="1"/>
              <w:left w:val="single" w:color="D5CCBB" w:sz="1"/>
              <w:bottom w:val="single" w:color="D5CCBB" w:sz="1"/>
              <w:right w:val="single" w:color="D5CCBB" w:sz="1"/>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8"/>
                <w:szCs w:val="18"/>
              </w:rPr>
              <w:t xml:space="preserve">PANEL 3 专题研讨（三） (15:15–16:15)</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
            </w:r>
          </w:p>
        </w:tc>
        <w:tc>
          <w:tcPr>
            <w:tcW w:type="dxa" w:w="5491"/>
            <w:gridSpan w:val="2"/>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Chair 主持: Aleksandar Stojanović</w:t>
            </w:r>
          </w:p>
          <w:p>
            <w:pPr>
              <w:spacing w:after="10"/>
              <w:jc w:val="left"/>
            </w:pPr>
            <w:r>
              <w:rPr>
                <w:rFonts w:ascii="Arial" w:cs="Arial" w:eastAsia="Arial" w:hAnsi="Arial"/>
                <w:b w:val="false"/>
                <w:bCs w:val="false"/>
                <w:i/>
                <w:iCs/>
                <w:color w:val="555555"/>
                <w:sz w:val="13"/>
                <w:szCs w:val="13"/>
              </w:rPr>
              <w:t xml:space="preserve">NYU Shanghai</w:t>
            </w:r>
          </w:p>
          <w:p>
            <w:pPr>
              <w:spacing w:after="20"/>
              <w:jc w:val="left"/>
            </w:pPr>
            <w:r>
              <w:rPr>
                <w:rFonts w:ascii="Arial" w:cs="Arial" w:eastAsia="Arial" w:hAnsi="Arial"/>
                <w:b w:val="false"/>
                <w:bCs w:val="false"/>
                <w:i/>
                <w:iCs/>
                <w:color w:val="555555"/>
                <w:sz w:val="13"/>
                <w:szCs w:val="13"/>
              </w:rPr>
              <w:t xml:space="preserve">纽约大学上海</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15:15–15:25</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Zhou Yuguang 周禹光</w:t>
            </w:r>
          </w:p>
          <w:p>
            <w:pPr>
              <w:spacing w:after="10"/>
              <w:jc w:val="left"/>
            </w:pPr>
            <w:r>
              <w:rPr>
                <w:rFonts w:ascii="Arial" w:cs="Arial" w:eastAsia="Arial" w:hAnsi="Arial"/>
                <w:b w:val="false"/>
                <w:bCs w:val="false"/>
                <w:i/>
                <w:iCs/>
                <w:color w:val="555555"/>
                <w:sz w:val="13"/>
                <w:szCs w:val="13"/>
              </w:rPr>
              <w:t xml:space="preserve">Capital Normal University, Beijing</w:t>
            </w:r>
          </w:p>
          <w:p>
            <w:pPr>
              <w:spacing w:after="20"/>
              <w:jc w:val="left"/>
            </w:pPr>
            <w:r>
              <w:rPr>
                <w:rFonts w:ascii="Arial" w:cs="Arial" w:eastAsia="Arial" w:hAnsi="Arial"/>
                <w:b w:val="false"/>
                <w:bCs w:val="false"/>
                <w:i/>
                <w:iCs/>
                <w:color w:val="555555"/>
                <w:sz w:val="13"/>
                <w:szCs w:val="13"/>
              </w:rPr>
              <w:t xml:space="preserve">首都师范大学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Mutual Mirroring: How China and Yugoslavia Learned from Each Other’s Socialist Revolution and Construction</w:t>
            </w:r>
          </w:p>
          <w:p>
            <w:pPr>
              <w:spacing w:after="20"/>
              <w:jc w:val="left"/>
            </w:pPr>
            <w:r>
              <w:rPr>
                <w:rFonts w:ascii="Arial" w:cs="Arial" w:eastAsia="Arial" w:hAnsi="Arial"/>
                <w:b w:val="false"/>
                <w:bCs w:val="false"/>
                <w:i/>
                <w:iCs/>
                <w:color w:val="555555"/>
                <w:sz w:val="13"/>
                <w:szCs w:val="13"/>
              </w:rPr>
              <w:t xml:space="preserve">互鉴：中南两国如何相互学习社会主义革命与建设经验</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15:25–15:35</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Sara Dragišić</w:t>
            </w:r>
          </w:p>
          <w:p>
            <w:pPr>
              <w:spacing w:after="10"/>
              <w:jc w:val="left"/>
            </w:pPr>
            <w:r>
              <w:rPr>
                <w:rFonts w:ascii="Arial" w:cs="Arial" w:eastAsia="Arial" w:hAnsi="Arial"/>
                <w:b w:val="false"/>
                <w:bCs w:val="false"/>
                <w:i/>
                <w:iCs/>
                <w:color w:val="555555"/>
                <w:sz w:val="13"/>
                <w:szCs w:val="13"/>
              </w:rPr>
              <w:t xml:space="preserve">IFDT Belgrade</w:t>
            </w:r>
          </w:p>
          <w:p>
            <w:pPr>
              <w:spacing w:after="20"/>
              <w:jc w:val="left"/>
            </w:pPr>
            <w:r>
              <w:rPr>
                <w:rFonts w:ascii="Arial" w:cs="Arial" w:eastAsia="Arial" w:hAnsi="Arial"/>
                <w:b w:val="false"/>
                <w:bCs w:val="false"/>
                <w:i/>
                <w:iCs/>
                <w:color w:val="555555"/>
                <w:sz w:val="13"/>
                <w:szCs w:val="13"/>
              </w:rPr>
              <w:t xml:space="preserve">贝尔格莱德大学哲学与社会理论研究所</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Planning and uncertainty: socialist reform and the limits of economic rationality</w:t>
            </w:r>
          </w:p>
          <w:p>
            <w:pPr>
              <w:spacing w:after="20"/>
              <w:jc w:val="left"/>
            </w:pPr>
            <w:r>
              <w:rPr>
                <w:rFonts w:ascii="Arial" w:cs="Arial" w:eastAsia="Arial" w:hAnsi="Arial"/>
                <w:b w:val="false"/>
                <w:bCs w:val="false"/>
                <w:i/>
                <w:iCs/>
                <w:color w:val="555555"/>
                <w:sz w:val="13"/>
                <w:szCs w:val="13"/>
              </w:rPr>
              <w:t xml:space="preserve">计划与不确定性：社会主义改革与经济理性的局限</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15:35–15:45</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Sašo Furlan</w:t>
            </w:r>
          </w:p>
          <w:p>
            <w:pPr>
              <w:spacing w:after="10"/>
              <w:jc w:val="left"/>
            </w:pPr>
            <w:r>
              <w:rPr>
                <w:rFonts w:ascii="Arial" w:cs="Arial" w:eastAsia="Arial" w:hAnsi="Arial"/>
                <w:b w:val="false"/>
                <w:bCs w:val="false"/>
                <w:i/>
                <w:iCs/>
                <w:color w:val="555555"/>
                <w:sz w:val="13"/>
                <w:szCs w:val="13"/>
              </w:rPr>
              <w:t xml:space="preserve">University of Ljubljana</w:t>
            </w:r>
          </w:p>
          <w:p>
            <w:pPr>
              <w:spacing w:after="20"/>
              <w:jc w:val="left"/>
            </w:pPr>
            <w:r>
              <w:rPr>
                <w:rFonts w:ascii="Arial" w:cs="Arial" w:eastAsia="Arial" w:hAnsi="Arial"/>
                <w:b w:val="false"/>
                <w:bCs w:val="false"/>
                <w:i/>
                <w:iCs/>
                <w:color w:val="555555"/>
                <w:sz w:val="13"/>
                <w:szCs w:val="13"/>
              </w:rPr>
              <w:t xml:space="preserve">卢布尔雅那大学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Instrumentalising the market: A Comparative Analysis of Yugoslavia’s Disintegration and China’s Resilience</w:t>
            </w:r>
          </w:p>
          <w:p>
            <w:pPr>
              <w:spacing w:after="20"/>
              <w:jc w:val="left"/>
            </w:pPr>
            <w:r>
              <w:rPr>
                <w:rFonts w:ascii="Arial" w:cs="Arial" w:eastAsia="Arial" w:hAnsi="Arial"/>
                <w:b w:val="false"/>
                <w:bCs w:val="false"/>
                <w:i/>
                <w:iCs/>
                <w:color w:val="555555"/>
                <w:sz w:val="13"/>
                <w:szCs w:val="13"/>
              </w:rPr>
              <w:t xml:space="preserve">市场工具化：南斯拉夫解体与中国韧性的比较分析</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15:45–15:55</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Stefan Guzvica</w:t>
            </w:r>
          </w:p>
          <w:p>
            <w:pPr>
              <w:spacing w:after="10"/>
              <w:jc w:val="left"/>
            </w:pPr>
            <w:r>
              <w:rPr>
                <w:rFonts w:ascii="Arial" w:cs="Arial" w:eastAsia="Arial" w:hAnsi="Arial"/>
                <w:b w:val="false"/>
                <w:bCs w:val="false"/>
                <w:i/>
                <w:iCs/>
                <w:color w:val="555555"/>
                <w:sz w:val="13"/>
                <w:szCs w:val="13"/>
              </w:rPr>
              <w:t xml:space="preserve">Higher School of Economics, Moscow</w:t>
            </w:r>
          </w:p>
          <w:p>
            <w:pPr>
              <w:spacing w:after="20"/>
              <w:jc w:val="left"/>
            </w:pPr>
            <w:r>
              <w:rPr>
                <w:rFonts w:ascii="Arial" w:cs="Arial" w:eastAsia="Arial" w:hAnsi="Arial"/>
                <w:b w:val="false"/>
                <w:bCs w:val="false"/>
                <w:i/>
                <w:iCs/>
                <w:color w:val="555555"/>
                <w:sz w:val="13"/>
                <w:szCs w:val="13"/>
              </w:rPr>
              <w:t xml:space="preserve">莫斯科高等经济学院</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Dependency Theory before Dependency Theory: The Legacy of Balkan Communism</w:t>
            </w:r>
          </w:p>
          <w:p>
            <w:pPr>
              <w:spacing w:after="20"/>
              <w:jc w:val="left"/>
            </w:pPr>
            <w:r>
              <w:rPr>
                <w:rFonts w:ascii="Arial" w:cs="Arial" w:eastAsia="Arial" w:hAnsi="Arial"/>
                <w:b w:val="false"/>
                <w:bCs w:val="false"/>
                <w:i/>
                <w:iCs/>
                <w:color w:val="555555"/>
                <w:sz w:val="13"/>
                <w:szCs w:val="13"/>
              </w:rPr>
              <w:t xml:space="preserve">依附理论之前的依附理论：巴尔干共产主义的遗产</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15:55–16:05</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Zhu Huahui 朱华辉</w:t>
            </w:r>
          </w:p>
          <w:p>
            <w:pPr>
              <w:spacing w:after="10"/>
              <w:jc w:val="left"/>
            </w:pPr>
            <w:r>
              <w:rPr>
                <w:rFonts w:ascii="Arial" w:cs="Arial" w:eastAsia="Arial" w:hAnsi="Arial"/>
                <w:b w:val="false"/>
                <w:bCs w:val="false"/>
                <w:i/>
                <w:iCs/>
                <w:color w:val="555555"/>
                <w:sz w:val="13"/>
                <w:szCs w:val="13"/>
              </w:rPr>
              <w:t xml:space="preserve">Xiamen University</w:t>
            </w:r>
          </w:p>
          <w:p>
            <w:pPr>
              <w:spacing w:after="20"/>
              <w:jc w:val="left"/>
            </w:pPr>
            <w:r>
              <w:rPr>
                <w:rFonts w:ascii="Arial" w:cs="Arial" w:eastAsia="Arial" w:hAnsi="Arial"/>
                <w:b w:val="false"/>
                <w:bCs w:val="false"/>
                <w:i/>
                <w:iCs/>
                <w:color w:val="555555"/>
                <w:sz w:val="13"/>
                <w:szCs w:val="13"/>
              </w:rPr>
              <w:t xml:space="preserve">厦门大学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Agrarian Improvement and the 1930s Debate on the ‘Social Character’ of Rural China</w:t>
            </w:r>
          </w:p>
          <w:p>
            <w:pPr>
              <w:spacing w:after="20"/>
              <w:jc w:val="left"/>
            </w:pPr>
            <w:r>
              <w:rPr>
                <w:rFonts w:ascii="Arial" w:cs="Arial" w:eastAsia="Arial" w:hAnsi="Arial"/>
                <w:b w:val="false"/>
                <w:bCs w:val="false"/>
                <w:i/>
                <w:iCs/>
                <w:color w:val="555555"/>
                <w:sz w:val="13"/>
                <w:szCs w:val="13"/>
              </w:rPr>
              <w:t xml:space="preserve">农业改良与1930年代关于中国农村’社会性质’的争论</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16:05–16:15</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Wang Dongbin 王东宾</w:t>
            </w:r>
          </w:p>
          <w:p>
            <w:pPr>
              <w:spacing w:after="10"/>
              <w:jc w:val="left"/>
            </w:pPr>
            <w:r>
              <w:rPr>
                <w:rFonts w:ascii="Arial" w:cs="Arial" w:eastAsia="Arial" w:hAnsi="Arial"/>
                <w:b w:val="false"/>
                <w:bCs w:val="false"/>
                <w:i/>
                <w:iCs/>
                <w:color w:val="555555"/>
                <w:sz w:val="13"/>
                <w:szCs w:val="13"/>
              </w:rPr>
              <w:t xml:space="preserve">Fudan University</w:t>
            </w:r>
          </w:p>
          <w:p>
            <w:pPr>
              <w:spacing w:after="20"/>
              <w:jc w:val="left"/>
            </w:pPr>
            <w:r>
              <w:rPr>
                <w:rFonts w:ascii="Arial" w:cs="Arial" w:eastAsia="Arial" w:hAnsi="Arial"/>
                <w:b w:val="false"/>
                <w:bCs w:val="false"/>
                <w:i/>
                <w:iCs/>
                <w:color w:val="555555"/>
                <w:sz w:val="13"/>
                <w:szCs w:val="13"/>
              </w:rPr>
              <w:t xml:space="preserve">复旦大学</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Insights from China-Serbia Agricultural Cooperation: China’s ‘Vegetable Revolution’</w:t>
            </w:r>
          </w:p>
          <w:p>
            <w:pPr>
              <w:spacing w:after="20"/>
              <w:jc w:val="left"/>
            </w:pPr>
            <w:r>
              <w:rPr>
                <w:rFonts w:ascii="Arial" w:cs="Arial" w:eastAsia="Arial" w:hAnsi="Arial"/>
                <w:b w:val="false"/>
                <w:bCs w:val="false"/>
                <w:i/>
                <w:iCs/>
                <w:color w:val="555555"/>
                <w:sz w:val="13"/>
                <w:szCs w:val="13"/>
              </w:rPr>
              <w:t xml:space="preserve">中塞农业合作的启示：中国'蔬菜革命'及其意义</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16:15–16:25 | Q&amp;A Discussion 问答讨论</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16:25–16:40 | Coffee Break 茶歇</w:t>
            </w:r>
          </w:p>
        </w:tc>
      </w:tr>
      <w:tr>
        <w:tc>
          <w:tcPr>
            <w:tcW w:type="dxa" w:w="6591"/>
            <w:gridSpan w:val="3"/>
            <w:tcBorders>
              <w:top w:val="single" w:color="D5CCBB" w:sz="1"/>
              <w:left w:val="single" w:color="D5CCBB" w:sz="1"/>
              <w:bottom w:val="single" w:color="D5CCBB" w:sz="1"/>
              <w:right w:val="single" w:color="D5CCBB" w:sz="1"/>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8"/>
                <w:szCs w:val="18"/>
              </w:rPr>
              <w:t xml:space="preserve">PANEL 4 专题研讨（四） (16:40–17:50)</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
            </w:r>
          </w:p>
        </w:tc>
        <w:tc>
          <w:tcPr>
            <w:tcW w:type="dxa" w:w="5491"/>
            <w:gridSpan w:val="2"/>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Chair 主持: Cui Zhiyuan 崔之元</w:t>
            </w:r>
          </w:p>
          <w:p>
            <w:pPr>
              <w:spacing w:after="10"/>
              <w:jc w:val="left"/>
            </w:pPr>
            <w:r>
              <w:rPr>
                <w:rFonts w:ascii="Arial" w:cs="Arial" w:eastAsia="Arial" w:hAnsi="Arial"/>
                <w:b w:val="false"/>
                <w:bCs w:val="false"/>
                <w:i/>
                <w:iCs/>
                <w:color w:val="555555"/>
                <w:sz w:val="13"/>
                <w:szCs w:val="13"/>
              </w:rPr>
              <w:t xml:space="preserve">Tsinghua University</w:t>
            </w:r>
          </w:p>
          <w:p>
            <w:pPr>
              <w:spacing w:after="20"/>
              <w:jc w:val="left"/>
            </w:pPr>
            <w:r>
              <w:rPr>
                <w:rFonts w:ascii="Arial" w:cs="Arial" w:eastAsia="Arial" w:hAnsi="Arial"/>
                <w:b w:val="false"/>
                <w:bCs w:val="false"/>
                <w:i/>
                <w:iCs/>
                <w:color w:val="555555"/>
                <w:sz w:val="13"/>
                <w:szCs w:val="13"/>
              </w:rPr>
              <w:t xml:space="preserve">清华大学</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16:40–16:50</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Sanja Bojanić</w:t>
            </w:r>
          </w:p>
          <w:p>
            <w:pPr>
              <w:spacing w:after="10"/>
              <w:jc w:val="left"/>
            </w:pPr>
            <w:r>
              <w:rPr>
                <w:rFonts w:ascii="Arial" w:cs="Arial" w:eastAsia="Arial" w:hAnsi="Arial"/>
                <w:b w:val="false"/>
                <w:bCs w:val="false"/>
                <w:i/>
                <w:iCs/>
                <w:color w:val="555555"/>
                <w:sz w:val="13"/>
                <w:szCs w:val="13"/>
              </w:rPr>
              <w:t xml:space="preserve">University of Rijeka, Croatia</w:t>
            </w:r>
          </w:p>
          <w:p>
            <w:pPr>
              <w:spacing w:after="20"/>
              <w:jc w:val="left"/>
            </w:pPr>
            <w:r>
              <w:rPr>
                <w:rFonts w:ascii="Arial" w:cs="Arial" w:eastAsia="Arial" w:hAnsi="Arial"/>
                <w:b w:val="false"/>
                <w:bCs w:val="false"/>
                <w:i/>
                <w:iCs/>
                <w:color w:val="555555"/>
                <w:sz w:val="13"/>
                <w:szCs w:val="13"/>
              </w:rPr>
              <w:t xml:space="preserve">里耶卡大学</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Between Techno-Neolibertarian Futurity and the Open Future</w:t>
            </w:r>
          </w:p>
          <w:p>
            <w:pPr>
              <w:spacing w:after="20"/>
              <w:jc w:val="left"/>
            </w:pPr>
            <w:r>
              <w:rPr>
                <w:rFonts w:ascii="Arial" w:cs="Arial" w:eastAsia="Arial" w:hAnsi="Arial"/>
                <w:b w:val="false"/>
                <w:bCs w:val="false"/>
                <w:i/>
                <w:iCs/>
                <w:color w:val="555555"/>
                <w:sz w:val="13"/>
                <w:szCs w:val="13"/>
              </w:rPr>
              <w:t xml:space="preserve">在技术新自由至上主义未来性与开放未来之间</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16:50–17:00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Srđan Đurović</w:t>
            </w:r>
          </w:p>
          <w:p>
            <w:pPr>
              <w:spacing w:after="10"/>
              <w:jc w:val="left"/>
            </w:pPr>
            <w:r>
              <w:rPr>
                <w:rFonts w:ascii="Arial" w:cs="Arial" w:eastAsia="Arial" w:hAnsi="Arial"/>
                <w:b w:val="false"/>
                <w:bCs w:val="false"/>
                <w:i/>
                <w:iCs/>
                <w:color w:val="555555"/>
                <w:sz w:val="13"/>
                <w:szCs w:val="13"/>
              </w:rPr>
              <w:t xml:space="preserve">IFDT Belgrade</w:t>
            </w:r>
          </w:p>
          <w:p>
            <w:pPr>
              <w:spacing w:after="20"/>
              <w:jc w:val="left"/>
            </w:pPr>
            <w:r>
              <w:rPr>
                <w:rFonts w:ascii="Arial" w:cs="Arial" w:eastAsia="Arial" w:hAnsi="Arial"/>
                <w:b w:val="false"/>
                <w:bCs w:val="false"/>
                <w:i/>
                <w:iCs/>
                <w:color w:val="555555"/>
                <w:sz w:val="13"/>
                <w:szCs w:val="13"/>
              </w:rPr>
              <w:t xml:space="preserve">贝尔格莱德大学IFDT</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Toward a Socialist Capability Approach: Human Self-Transformation and the Normative Foundations of Socialism</w:t>
            </w:r>
          </w:p>
          <w:p>
            <w:pPr>
              <w:spacing w:after="20"/>
              <w:jc w:val="left"/>
            </w:pPr>
            <w:r>
              <w:rPr>
                <w:rFonts w:ascii="Arial" w:cs="Arial" w:eastAsia="Arial" w:hAnsi="Arial"/>
                <w:b w:val="false"/>
                <w:bCs w:val="false"/>
                <w:i/>
                <w:iCs/>
                <w:color w:val="555555"/>
                <w:sz w:val="13"/>
                <w:szCs w:val="13"/>
              </w:rPr>
              <w:t xml:space="preserve">走向社会主义能力方法：人的自我转变与社会主义的规范基础</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17:00–17:10</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Milan Urošević</w:t>
            </w:r>
          </w:p>
          <w:p>
            <w:pPr>
              <w:spacing w:after="10"/>
              <w:jc w:val="left"/>
            </w:pPr>
            <w:r>
              <w:rPr>
                <w:rFonts w:ascii="Arial" w:cs="Arial" w:eastAsia="Arial" w:hAnsi="Arial"/>
                <w:b w:val="false"/>
                <w:bCs w:val="false"/>
                <w:i/>
                <w:iCs/>
                <w:color w:val="555555"/>
                <w:sz w:val="13"/>
                <w:szCs w:val="13"/>
              </w:rPr>
              <w:t xml:space="preserve">IFDT Belgrade</w:t>
            </w:r>
          </w:p>
          <w:p>
            <w:pPr>
              <w:spacing w:after="20"/>
              <w:jc w:val="left"/>
            </w:pPr>
            <w:r>
              <w:rPr>
                <w:rFonts w:ascii="Arial" w:cs="Arial" w:eastAsia="Arial" w:hAnsi="Arial"/>
                <w:b w:val="false"/>
                <w:bCs w:val="false"/>
                <w:i/>
                <w:iCs/>
                <w:color w:val="555555"/>
                <w:sz w:val="13"/>
                <w:szCs w:val="13"/>
              </w:rPr>
              <w:t xml:space="preserve">贝尔格莱德大学哲学与社会理论研究所</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Subsumption of Subjectivity and Domination in Contemporary Capitalism</w:t>
            </w:r>
          </w:p>
          <w:p>
            <w:pPr>
              <w:spacing w:after="20"/>
              <w:jc w:val="left"/>
            </w:pPr>
            <w:r>
              <w:rPr>
                <w:rFonts w:ascii="Arial" w:cs="Arial" w:eastAsia="Arial" w:hAnsi="Arial"/>
                <w:b w:val="false"/>
                <w:bCs w:val="false"/>
                <w:i/>
                <w:iCs/>
                <w:color w:val="555555"/>
                <w:sz w:val="13"/>
                <w:szCs w:val="13"/>
              </w:rPr>
              <w:t xml:space="preserve">当代资本主义中主体性的涵摄与统治</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17:10–17:20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Song Yifan 宋一帆</w:t>
            </w:r>
          </w:p>
          <w:p>
            <w:pPr>
              <w:spacing w:after="10"/>
              <w:jc w:val="left"/>
            </w:pPr>
            <w:r>
              <w:rPr>
                <w:rFonts w:ascii="Arial" w:cs="Arial" w:eastAsia="Arial" w:hAnsi="Arial"/>
                <w:b w:val="false"/>
                <w:bCs w:val="false"/>
                <w:i/>
                <w:iCs/>
                <w:color w:val="555555"/>
                <w:sz w:val="13"/>
                <w:szCs w:val="13"/>
              </w:rPr>
              <w:t xml:space="preserve">Fudan University</w:t>
            </w:r>
          </w:p>
          <w:p>
            <w:pPr>
              <w:spacing w:after="20"/>
              <w:jc w:val="left"/>
            </w:pPr>
            <w:r>
              <w:rPr>
                <w:rFonts w:ascii="Arial" w:cs="Arial" w:eastAsia="Arial" w:hAnsi="Arial"/>
                <w:b w:val="false"/>
                <w:bCs w:val="false"/>
                <w:i/>
                <w:iCs/>
                <w:color w:val="555555"/>
                <w:sz w:val="13"/>
                <w:szCs w:val="13"/>
              </w:rPr>
              <w:t xml:space="preserve">复旦大学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A Social Ontological Reconstruction of the idea of ‘living institution’</w:t>
            </w:r>
          </w:p>
          <w:p>
            <w:pPr>
              <w:spacing w:after="20"/>
              <w:jc w:val="left"/>
            </w:pPr>
            <w:r>
              <w:rPr>
                <w:rFonts w:ascii="Arial" w:cs="Arial" w:eastAsia="Arial" w:hAnsi="Arial"/>
                <w:b w:val="false"/>
                <w:bCs w:val="false"/>
                <w:i/>
                <w:iCs/>
                <w:color w:val="555555"/>
                <w:sz w:val="13"/>
                <w:szCs w:val="13"/>
              </w:rPr>
              <w:t xml:space="preserve">’活的制度’观念的社会本体论重构</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17:20–17:30</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Cai Qiaoyu 蔡翘宇</w:t>
            </w:r>
          </w:p>
          <w:p>
            <w:pPr>
              <w:spacing w:after="10"/>
              <w:jc w:val="left"/>
            </w:pPr>
            <w:r>
              <w:rPr>
                <w:rFonts w:ascii="Arial" w:cs="Arial" w:eastAsia="Arial" w:hAnsi="Arial"/>
                <w:b w:val="false"/>
                <w:bCs w:val="false"/>
                <w:i/>
                <w:iCs/>
                <w:color w:val="555555"/>
                <w:sz w:val="13"/>
                <w:szCs w:val="13"/>
              </w:rPr>
              <w:t xml:space="preserve">Tsinghua University</w:t>
            </w:r>
          </w:p>
          <w:p>
            <w:pPr>
              <w:spacing w:after="20"/>
              <w:jc w:val="left"/>
            </w:pPr>
            <w:r>
              <w:rPr>
                <w:rFonts w:ascii="Arial" w:cs="Arial" w:eastAsia="Arial" w:hAnsi="Arial"/>
                <w:b w:val="false"/>
                <w:bCs w:val="false"/>
                <w:i/>
                <w:iCs/>
                <w:color w:val="555555"/>
                <w:sz w:val="13"/>
                <w:szCs w:val="13"/>
              </w:rPr>
              <w:t xml:space="preserve">清华大学</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Digital Humanities and the Condition of Global Modernity</w:t>
            </w:r>
          </w:p>
          <w:p>
            <w:pPr>
              <w:spacing w:after="20"/>
              <w:jc w:val="left"/>
            </w:pPr>
            <w:r>
              <w:rPr>
                <w:rFonts w:ascii="Arial" w:cs="Arial" w:eastAsia="Arial" w:hAnsi="Arial"/>
                <w:b w:val="false"/>
                <w:bCs w:val="false"/>
                <w:i/>
                <w:iCs/>
                <w:color w:val="555555"/>
                <w:sz w:val="13"/>
                <w:szCs w:val="13"/>
              </w:rPr>
              <w:t xml:space="preserve">数字人文与全球现代性的条件</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17:30–17:40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Rasmus Sandnes Haukedal</w:t>
            </w:r>
          </w:p>
          <w:p>
            <w:pPr>
              <w:spacing w:after="10"/>
              <w:jc w:val="left"/>
            </w:pPr>
            <w:r>
              <w:rPr>
                <w:rFonts w:ascii="Arial" w:cs="Arial" w:eastAsia="Arial" w:hAnsi="Arial"/>
                <w:b w:val="false"/>
                <w:bCs w:val="false"/>
                <w:i/>
                <w:iCs/>
                <w:color w:val="555555"/>
                <w:sz w:val="13"/>
                <w:szCs w:val="13"/>
              </w:rPr>
              <w:t xml:space="preserve">Durham University (Shanghai-based)</w:t>
            </w:r>
          </w:p>
          <w:p>
            <w:pPr>
              <w:spacing w:after="20"/>
              <w:jc w:val="left"/>
            </w:pPr>
            <w:r>
              <w:rPr>
                <w:rFonts w:ascii="Arial" w:cs="Arial" w:eastAsia="Arial" w:hAnsi="Arial"/>
                <w:b w:val="false"/>
                <w:bCs w:val="false"/>
                <w:i/>
                <w:iCs/>
                <w:color w:val="555555"/>
                <w:sz w:val="13"/>
                <w:szCs w:val="13"/>
              </w:rPr>
              <w:t xml:space="preserve">杜伦大学</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The Causality of the Anthropocene: Scientific Socialism and Ecological Civilisation</w:t>
            </w:r>
          </w:p>
          <w:p>
            <w:pPr>
              <w:spacing w:after="20"/>
              <w:jc w:val="left"/>
            </w:pPr>
            <w:r>
              <w:rPr>
                <w:rFonts w:ascii="Arial" w:cs="Arial" w:eastAsia="Arial" w:hAnsi="Arial"/>
                <w:b w:val="false"/>
                <w:bCs w:val="false"/>
                <w:i/>
                <w:iCs/>
                <w:color w:val="555555"/>
                <w:sz w:val="13"/>
                <w:szCs w:val="13"/>
              </w:rPr>
              <w:t xml:space="preserve">人类世的因果性：科学社会主义与生态文明</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17:40–17:50 | Q&amp;A Discussion 问答讨论</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17:50–18:00 | Short Break 休息</w:t>
            </w:r>
          </w:p>
        </w:tc>
      </w:tr>
      <w:tr>
        <w:tc>
          <w:tcPr>
            <w:tcW w:type="dxa" w:w="6591"/>
            <w:gridSpan w:val="3"/>
            <w:tcBorders>
              <w:top w:val="single" w:color="D5CCBB" w:sz="1"/>
              <w:left w:val="single" w:color="D5CCBB" w:sz="1"/>
              <w:bottom w:val="single" w:color="D5CCBB" w:sz="1"/>
              <w:right w:val="single" w:color="D5CCBB" w:sz="1"/>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8"/>
                <w:szCs w:val="18"/>
              </w:rPr>
              <w:t xml:space="preserve">CLOSING KEYNOTE ADDRESSES 闭幕主旨演讲 (18:00–18:55)</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
            </w:r>
          </w:p>
        </w:tc>
        <w:tc>
          <w:tcPr>
            <w:tcW w:type="dxa" w:w="5491"/>
            <w:gridSpan w:val="2"/>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Chair 主持: Yang Junling 杨峻岭</w:t>
            </w:r>
          </w:p>
          <w:p>
            <w:pPr>
              <w:spacing w:after="10"/>
              <w:jc w:val="left"/>
            </w:pPr>
            <w:r>
              <w:rPr>
                <w:rFonts w:ascii="Arial" w:cs="Arial" w:eastAsia="Arial" w:hAnsi="Arial"/>
                <w:b w:val="false"/>
                <w:bCs w:val="false"/>
                <w:i/>
                <w:iCs/>
                <w:color w:val="555555"/>
                <w:sz w:val="13"/>
                <w:szCs w:val="13"/>
              </w:rPr>
              <w:t xml:space="preserve">Dean, School of Marxism, ECNU</w:t>
            </w:r>
          </w:p>
          <w:p>
            <w:pPr>
              <w:spacing w:after="20"/>
              <w:jc w:val="left"/>
            </w:pPr>
            <w:r>
              <w:rPr>
                <w:rFonts w:ascii="Arial" w:cs="Arial" w:eastAsia="Arial" w:hAnsi="Arial"/>
                <w:b w:val="false"/>
                <w:bCs w:val="false"/>
                <w:i/>
                <w:iCs/>
                <w:color w:val="555555"/>
                <w:sz w:val="13"/>
                <w:szCs w:val="13"/>
              </w:rPr>
              <w:t xml:space="preserve">华东师范大学马克思主义学院院长</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18:00–18:25</w:t>
            </w:r>
          </w:p>
        </w:tc>
        <w:tc>
          <w:tcPr>
            <w:tcW w:type="dxa" w:w="5491"/>
            <w:gridSpan w:val="2"/>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Tong Shijun 童世骏</w:t>
            </w:r>
          </w:p>
          <w:p>
            <w:pPr>
              <w:spacing w:after="10"/>
              <w:jc w:val="left"/>
            </w:pPr>
            <w:r>
              <w:rPr>
                <w:rFonts w:ascii="Arial" w:cs="Arial" w:eastAsia="Arial" w:hAnsi="Arial"/>
                <w:b w:val="false"/>
                <w:bCs w:val="false"/>
                <w:i/>
                <w:iCs/>
                <w:color w:val="555555"/>
                <w:sz w:val="13"/>
                <w:szCs w:val="13"/>
              </w:rPr>
              <w:t xml:space="preserve">Chancellor, NYU Shanghai</w:t>
            </w:r>
          </w:p>
          <w:p>
            <w:pPr>
              <w:spacing w:after="20"/>
              <w:jc w:val="left"/>
            </w:pPr>
            <w:r>
              <w:rPr>
                <w:rFonts w:ascii="Arial" w:cs="Arial" w:eastAsia="Arial" w:hAnsi="Arial"/>
                <w:b w:val="false"/>
                <w:bCs w:val="false"/>
                <w:i/>
                <w:iCs/>
                <w:color w:val="555555"/>
                <w:sz w:val="13"/>
                <w:szCs w:val="13"/>
              </w:rPr>
              <w:t xml:space="preserve">纽约大学上海校长</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18:25–18:50</w:t>
            </w:r>
          </w:p>
        </w:tc>
        <w:tc>
          <w:tcPr>
            <w:tcW w:type="dxa" w:w="5491"/>
            <w:gridSpan w:val="2"/>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Petar Bojanić</w:t>
            </w:r>
          </w:p>
          <w:p>
            <w:pPr>
              <w:spacing w:after="10"/>
              <w:jc w:val="left"/>
            </w:pPr>
            <w:r>
              <w:rPr>
                <w:rFonts w:ascii="Arial" w:cs="Arial" w:eastAsia="Arial" w:hAnsi="Arial"/>
                <w:b w:val="false"/>
                <w:bCs w:val="false"/>
                <w:i/>
                <w:iCs/>
                <w:color w:val="555555"/>
                <w:sz w:val="13"/>
                <w:szCs w:val="13"/>
              </w:rPr>
              <w:t xml:space="preserve">Director, RECAS / IFDT Belgrade</w:t>
            </w:r>
          </w:p>
          <w:p>
            <w:pPr>
              <w:spacing w:after="20"/>
              <w:jc w:val="left"/>
            </w:pPr>
            <w:r>
              <w:rPr>
                <w:rFonts w:ascii="Arial" w:cs="Arial" w:eastAsia="Arial" w:hAnsi="Arial"/>
                <w:b w:val="false"/>
                <w:bCs w:val="false"/>
                <w:i/>
                <w:iCs/>
                <w:color w:val="555555"/>
                <w:sz w:val="13"/>
                <w:szCs w:val="13"/>
              </w:rPr>
              <w:t xml:space="preserve">RECAS主任 / 贝尔格莱德IFDT</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18:50–19:10 | Closing Remarks 闭幕致辞</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19:30 | Workshop Dinner 晚宴</w:t>
            </w:r>
          </w:p>
        </w:tc>
      </w:tr>
    </w:tbl>
    <w:p>
      <w:pPr>
        <w:spacing w:after="60"/>
        <w:jc w:val="left"/>
      </w:pPr>
      <w:r>
        <w:rPr>
          <w:rFonts w:ascii="Arial" w:cs="Arial" w:eastAsia="Arial" w:hAnsi="Arial"/>
          <w:sz w:val="2"/>
          <w:szCs w:val="2"/>
        </w:rPr>
        <w:br/>
        <w:t xml:space="preserve"/>
      </w:r>
    </w:p>
    <w:p>
      <w:r>
        <w:br w:type="page"/>
      </w:r>
    </w:p>
    <w:p>
      <w:pPr>
        <w:spacing w:after="120"/>
        <w:jc w:val="left"/>
      </w:pPr>
      <w:r>
        <w:rPr>
          <w:rFonts w:ascii="Arial" w:cs="Arial" w:eastAsia="Arial" w:hAnsi="Arial"/>
          <w:b/>
          <w:bCs/>
          <w:i w:val="false"/>
          <w:iCs w:val="false"/>
          <w:color w:val="1A3C6E"/>
          <w:sz w:val="24"/>
          <w:szCs w:val="24"/>
        </w:rPr>
        <w:t xml:space="preserve">Day 2 — May 31 (第二天 — 5月31日)</w:t>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100"/>
        <w:gridCol w:w="2300"/>
        <w:gridCol w:w="3191"/>
      </w:tblGrid>
      <w:tr>
        <w:tc>
          <w:tcPr>
            <w:tcW w:type="dxa" w:w="1100"/>
            <w:tcBorders>
              <w:top w:val="single" w:color="D5CCBB" w:sz="1"/>
              <w:left w:val="single" w:color="D5CCBB" w:sz="1"/>
              <w:bottom w:val="single" w:color="D5CCBB" w:sz="1"/>
              <w:right w:val="single" w:color="D5CCBB" w:sz="1"/>
            </w:tcBorders>
            <w:shd w:fill="0A1628"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6"/>
                <w:szCs w:val="16"/>
              </w:rPr>
              <w:t xml:space="preserve">Time</w:t>
            </w:r>
          </w:p>
        </w:tc>
        <w:tc>
          <w:tcPr>
            <w:tcW w:type="dxa" w:w="2300"/>
            <w:tcBorders>
              <w:top w:val="single" w:color="D5CCBB" w:sz="1"/>
              <w:left w:val="single" w:color="D5CCBB" w:sz="1"/>
              <w:bottom w:val="single" w:color="D5CCBB" w:sz="1"/>
              <w:right w:val="single" w:color="D5CCBB" w:sz="1"/>
            </w:tcBorders>
            <w:shd w:fill="0A1628"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6"/>
                <w:szCs w:val="16"/>
              </w:rPr>
              <w:t xml:space="preserve">Session 场次</w:t>
            </w:r>
          </w:p>
        </w:tc>
        <w:tc>
          <w:tcPr>
            <w:tcW w:type="dxa" w:w="3191"/>
            <w:tcBorders>
              <w:top w:val="single" w:color="D5CCBB" w:sz="1"/>
              <w:left w:val="single" w:color="D5CCBB" w:sz="1"/>
              <w:bottom w:val="single" w:color="D5CCBB" w:sz="1"/>
              <w:right w:val="single" w:color="D5CCBB" w:sz="1"/>
            </w:tcBorders>
            <w:shd w:fill="0A1628"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16"/>
                <w:szCs w:val="16"/>
              </w:rPr>
              <w:t xml:space="preserve">Moderator 主持人</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09:00–09:15 | Registration and Coffee 签到</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09:15–10:15</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ROUNDTABLE 1 圆桌讨论（一）</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Aleksandar Stojanović</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10:15–10:30 | Coffee Break 茶歇</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10:30–11:30</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ROUNDTABLE 2 圆桌讨论（二）</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Andrea Jovanović</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11:30–13:00 | Lunch Break 午餐</w:t>
            </w:r>
          </w:p>
        </w:tc>
      </w:tr>
      <w:tr>
        <w:tc>
          <w:tcPr>
            <w:tcW w:type="dxa" w:w="11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13:00–14:00</w:t>
            </w:r>
          </w:p>
        </w:tc>
        <w:tc>
          <w:tcPr>
            <w:tcW w:type="dxa" w:w="2300"/>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ROUNDTABLE 3 圆桌讨论（三）</w:t>
            </w:r>
          </w:p>
        </w:tc>
        <w:tc>
          <w:tcPr>
            <w:tcW w:type="dxa" w:w="3191"/>
            <w:tcBorders>
              <w:top w:val="single" w:color="D5CCBB" w:sz="1"/>
              <w:left w:val="single" w:color="D5CCBB" w:sz="1"/>
              <w:bottom w:val="single" w:color="D5CCBB" w:sz="1"/>
              <w:right w:val="single" w:color="D5CCBB" w:sz="1"/>
            </w:tcBorders>
            <w:shd w:fill="FFFFFF"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Cui Zhiyuan 崔之元</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14:00–14:15 | Coffee Break 茶歇</w:t>
            </w:r>
          </w:p>
        </w:tc>
      </w:tr>
      <w:tr>
        <w:tc>
          <w:tcPr>
            <w:tcW w:type="dxa" w:w="11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60"/>
              <w:jc w:val="left"/>
            </w:pPr>
            <w:r>
              <w:rPr>
                <w:rFonts w:ascii="Arial" w:cs="Arial" w:eastAsia="Arial" w:hAnsi="Arial"/>
                <w:b w:val="false"/>
                <w:bCs w:val="false"/>
                <w:i w:val="false"/>
                <w:iCs w:val="false"/>
                <w:color w:val="000000"/>
                <w:sz w:val="16"/>
                <w:szCs w:val="16"/>
              </w:rPr>
              <w:t xml:space="preserve">14:15–15:15</w:t>
            </w:r>
          </w:p>
        </w:tc>
        <w:tc>
          <w:tcPr>
            <w:tcW w:type="dxa" w:w="2300"/>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ROUNDTABLE 4 圆桌讨论（四）</w:t>
            </w:r>
          </w:p>
        </w:tc>
        <w:tc>
          <w:tcPr>
            <w:tcW w:type="dxa" w:w="3191"/>
            <w:tcBorders>
              <w:top w:val="single" w:color="D5CCBB" w:sz="1"/>
              <w:left w:val="single" w:color="D5CCBB" w:sz="1"/>
              <w:bottom w:val="single" w:color="D5CCBB" w:sz="1"/>
              <w:right w:val="single" w:color="D5CCBB" w:sz="1"/>
            </w:tcBorders>
            <w:shd w:fill="F5F0E8" w:color="auto" w:val="clear"/>
            <w:tcMar>
              <w:top w:type="dxa" w:w="40"/>
              <w:left w:type="dxa" w:w="60"/>
              <w:bottom w:type="dxa" w:w="40"/>
              <w:right w:type="dxa" w:w="60"/>
            </w:tcMar>
            <w:vAlign w:val="center"/>
          </w:tcPr>
          <w:p>
            <w:pPr>
              <w:spacing w:after="10"/>
              <w:jc w:val="left"/>
            </w:pPr>
            <w:r>
              <w:rPr>
                <w:rFonts w:ascii="Arial" w:cs="Arial" w:eastAsia="Arial" w:hAnsi="Arial"/>
                <w:b w:val="false"/>
                <w:bCs w:val="false"/>
                <w:i/>
                <w:iCs/>
                <w:color w:val="333333"/>
                <w:sz w:val="14"/>
                <w:szCs w:val="14"/>
              </w:rPr>
              <w:t xml:space="preserve">Feng Li 冯莉</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15:15–15:30 | Closing Remarks 闭幕致辞</w:t>
            </w:r>
          </w:p>
        </w:tc>
      </w:tr>
      <w:tr>
        <w:tc>
          <w:tcPr>
            <w:tcW w:type="dxa" w:w="6591"/>
            <w:gridSpan w:val="3"/>
            <w:tcBorders>
              <w:top w:val="single" w:color="D5CCBB" w:sz="1"/>
              <w:left w:val="single" w:color="D5CCBB" w:sz="1"/>
              <w:bottom w:val="single" w:color="D5CCBB" w:sz="1"/>
              <w:right w:val="single" w:color="D5CCBB" w:sz="1"/>
            </w:tcBorders>
            <w:shd w:fill="EDE8E0" w:color="auto" w:val="clear"/>
            <w:tcMar>
              <w:top w:type="dxa" w:w="40"/>
              <w:left w:type="dxa" w:w="60"/>
              <w:bottom w:type="dxa" w:w="40"/>
              <w:right w:type="dxa" w:w="60"/>
            </w:tcMar>
            <w:vAlign w:val="center"/>
          </w:tcPr>
          <w:p>
            <w:pPr>
              <w:spacing w:after="60"/>
              <w:jc w:val="center"/>
            </w:pPr>
            <w:r>
              <w:rPr>
                <w:rFonts w:ascii="Arial" w:cs="Arial" w:eastAsia="Arial" w:hAnsi="Arial"/>
                <w:b w:val="false"/>
                <w:bCs w:val="false"/>
                <w:i/>
                <w:iCs/>
                <w:color w:val="555555"/>
                <w:sz w:val="16"/>
                <w:szCs w:val="16"/>
              </w:rPr>
              <w:t xml:space="preserve">15:30 | Farewell 再会</w:t>
            </w:r>
          </w:p>
        </w:tc>
      </w:tr>
    </w:tbl>
    <w:p>
      <w:pPr>
        <w:sectPr>
          <w:headerReference w:type="default" r:id="rId9"/>
          <w:footerReference w:type="default" r:id="rId10"/>
          <w:pgSz w:w="8391" w:h="11906" w:orient="portrait"/>
          <w:pgMar w:top="1000" w:right="900" w:bottom="1000" w:left="900" w:header="708" w:footer="708" w:gutter="0"/>
          <w:pgNumType/>
          <w:docGrid w:linePitch="360"/>
        </w:sectPr>
      </w:pPr>
    </w:p>
    <w:p>
      <w:pPr>
        <w:spacing w:after="60"/>
        <w:jc w:val="center"/>
      </w:pPr>
      <w:r>
        <w:rPr>
          <w:rFonts w:ascii="Arial" w:cs="Arial" w:eastAsia="Arial" w:hAnsi="Arial"/>
          <w:b/>
          <w:bCs/>
          <w:i w:val="false"/>
          <w:iCs w:val="false"/>
          <w:color w:val="1A3C6E"/>
          <w:sz w:val="32"/>
          <w:szCs w:val="32"/>
        </w:rPr>
        <w:t xml:space="preserve">摘要与简介</w:t>
      </w:r>
    </w:p>
    <w:p>
      <w:pPr>
        <w:spacing w:after="200"/>
        <w:jc w:val="center"/>
      </w:pPr>
      <w:r>
        <w:rPr>
          <w:rFonts w:ascii="Arial" w:cs="Arial" w:eastAsia="Arial" w:hAnsi="Arial"/>
          <w:b/>
          <w:bCs/>
          <w:i w:val="false"/>
          <w:iCs w:val="false"/>
          <w:color w:val="2B5A8C"/>
          <w:sz w:val="26"/>
          <w:szCs w:val="26"/>
        </w:rPr>
        <w:t xml:space="preserve">Abstracts &amp; Biographical Notes</w:t>
      </w:r>
    </w:p>
    <w:p>
      <w:r>
        <w:br w:type="page"/>
      </w:r>
    </w:p>
    <w:p>
      <w:pPr>
        <w:spacing w:after="80"/>
        <w:jc w:val="left"/>
      </w:pPr>
      <w:r>
        <w:rPr>
          <w:rFonts w:ascii="Arial" w:cs="Arial" w:eastAsia="Arial" w:hAnsi="Arial"/>
          <w:b w:val="false"/>
          <w:bCs w:val="false"/>
          <w:i w:val="false"/>
          <w:iCs w:val="false"/>
          <w:color w:val="000000"/>
          <w:sz w:val="20"/>
          <w:szCs w:val="20"/>
        </w:rPr>
        <w:t xml:space="preserve"/>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W w:type="dxa" w:w="6591"/>
            <w:tcBorders>
              <w:top w:val="none" w:sz="0"/>
              <w:left w:val="none" w:sz="0"/>
              <w:bottom w:val="none" w:sz="0"/>
              <w:right w:val="none" w:sz="0"/>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24"/>
                <w:szCs w:val="24"/>
              </w:rPr>
              <w:t xml:space="preserve">ORGANIZERS &amp; HOSTS — 组织者与主持人</w:t>
            </w:r>
          </w:p>
        </w:tc>
      </w:tr>
    </w:tbl>
    <w:p>
      <w:pPr>
        <w:spacing w:after="200"/>
        <w:jc w:val="left"/>
      </w:pPr>
      <w:r>
        <w:rPr>
          <w:rFonts w:ascii="Arial" w:cs="Arial" w:eastAsia="Arial" w:hAnsi="Arial"/>
          <w:b w:val="false"/>
          <w:bCs w:val="false"/>
          <w:i w:val="false"/>
          <w:iCs w:val="false"/>
          <w:color w:val="000000"/>
          <w:sz w:val="20"/>
          <w:szCs w:val="20"/>
        </w:rPr>
        <w:t xml:space="preserve"/>
      </w:r>
    </w:p>
    <w:p>
      <w:pPr>
        <w:spacing w:after="100"/>
        <w:jc w:val="center"/>
      </w:pPr>
      <w:r>
        <w:drawing>
          <wp:inline distT="0" distB="0" distL="0" distR="0">
            <wp:extent cx="790575" cy="790575"/>
            <wp:effectExtent t="0" r="0" b="0" l="0"/>
            <wp:docPr id="1" name="Yang Junling 杨峻岭" descr="Photo of Yang Junling 杨峻岭" title="Yang Junling 杨峻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Yang Junling 杨峻岭</w:t>
      </w:r>
    </w:p>
    <w:p>
      <w:pPr>
        <w:spacing w:after="80"/>
        <w:jc w:val="center"/>
      </w:pPr>
      <w:r>
        <w:rPr>
          <w:rFonts w:ascii="Arial" w:cs="Arial" w:eastAsia="Arial" w:hAnsi="Arial"/>
          <w:b w:val="false"/>
          <w:bCs w:val="false"/>
          <w:i/>
          <w:iCs/>
          <w:color w:val="444444"/>
          <w:sz w:val="20"/>
          <w:szCs w:val="20"/>
        </w:rPr>
        <w:t xml:space="preserve">Dean, School of Marxism, East China Normal University / 华东师范大学马克思主义学院院长</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Yang Junling is Dean and Professor at the School of Marxism, East China Normal University. She holds a PhD in Philosophy and previously served as Dean of the School of Marxism at the China University of Geosciences (Beijing). She has been recognized as a Ministry of Education New Century Talent and a Beijing Distinguished Professor of Ideological and Political Theory Courses. Her research focuses on Marxist theory and ideological-political education.</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杨峻岭，华东师范大学马克思主义学院院长、教授。哲学博士，此前担任中国地质大学（北京）马克思主义学院院长。入选教育部新世纪人才，北京市高校思想政治理论课特级教授。研究方向为马克思主义理论与思想政治教育。</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Tong Shijun 童世骏" descr="Photo of Tong Shijun 童世骏" title="Tong Shijun 童世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Tong Shijun 童世骏</w:t>
      </w:r>
    </w:p>
    <w:p>
      <w:pPr>
        <w:spacing w:after="80"/>
        <w:jc w:val="center"/>
      </w:pPr>
      <w:r>
        <w:rPr>
          <w:rFonts w:ascii="Arial" w:cs="Arial" w:eastAsia="Arial" w:hAnsi="Arial"/>
          <w:b w:val="false"/>
          <w:bCs w:val="false"/>
          <w:i/>
          <w:iCs/>
          <w:color w:val="444444"/>
          <w:sz w:val="20"/>
          <w:szCs w:val="20"/>
        </w:rPr>
        <w:t xml:space="preserve">Chancellor, NYU Shanghai / 纽约大学上海校长</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Tong Shijun is Chancellor of NYU Shanghai. He received his PhD from the University of Bergen, Norway (1994) and has held positions including Chair of the ECNU Department of Philosophy, Deputy Dean of the Shanghai Academy of Social Sciences, and Chairman of the ECNU University Council (2011-2019). His research spans epistemology, ethics, political philosophy, and comparative philosophy. He has authored more than ten books and over one hundred papers, and has translated works by Jurgen Habermas into Chinese. He has been a Foreign Member of the Norwegian Academy of Science and Letters since 2010.</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童世骏，纽约大学上海校长。1994年获挪威卑尔根大学博士学位。曾任华东师范大学哲学系主任、上海社会科学院副院长、华东师范大学校务委员会主席（2011–2019）。研究领域涵盖认识论、伦理学、政治哲学和比较哲学。著有十余部专著，发表论文百余篇，并将哈贝马斯著作译为中文。2010年起担任挪威科学与文学院外籍院士。</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Petar Bojanić" descr="Photo of Petar Bojanić" title="Petar Bojan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Petar Bojanić</w:t>
      </w:r>
    </w:p>
    <w:p>
      <w:pPr>
        <w:spacing w:after="80"/>
        <w:jc w:val="center"/>
      </w:pPr>
      <w:r>
        <w:rPr>
          <w:rFonts w:ascii="Arial" w:cs="Arial" w:eastAsia="Arial" w:hAnsi="Arial"/>
          <w:b w:val="false"/>
          <w:bCs w:val="false"/>
          <w:i/>
          <w:iCs/>
          <w:color w:val="444444"/>
          <w:sz w:val="20"/>
          <w:szCs w:val="20"/>
        </w:rPr>
        <w:t xml:space="preserve">IFDT Belgrade / Director of RECAS / 贝尔格莱德大学哲学与社会理论研究所 · RECAS主任</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Petar Bojanic (b. 1964) is Principal Research Fellow and Full Professor at the Institute for Philosophy and Social Theory (IFDT), University of Belgrade, where he served as Director from 2011 to 2019. He is the President of the Regional Network of Centers for Advanced Studies in Southeast Europe (RECAS). He received his PhD from Paris Nanterre University (2003), with a dissertation supervised by Jacques Derrida. His research spans political philosophy, social ontology, ethics of war, and Jewish political thought. He has published over ten books, including Violence and Messianism (Routledge, 2018) and In-Statuere: Figures of Institutional Building (Vittorio Klostermann, 2022).</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Petar Bojanić（1964年生），贝尔格莱德大学哲学与社会理论研究所（IFDT）首席研究员、教授，2011至2019年担任所长。现任东南欧高等研究中心网络（RECAS）主席。2003年获巴黎南泰尔大学博士学位，师从德里达。研究领域涵盖政治哲学、社会本体论、战争伦理学和犹太政治思想。出版十余部著作，包括《暴力与弥赛亚主义》（Routledge，2018）和《In-Statuere：制度建构的图式》（Vittorio Klostermann，2022）。</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Aleksandar Stojanović" descr="Photo of Aleksandar Stojanović" title="Aleksandar Stojan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Aleksandar Stojanović</w:t>
      </w:r>
    </w:p>
    <w:p>
      <w:pPr>
        <w:spacing w:after="80"/>
        <w:jc w:val="center"/>
      </w:pPr>
      <w:r>
        <w:rPr>
          <w:rFonts w:ascii="Arial" w:cs="Arial" w:eastAsia="Arial" w:hAnsi="Arial"/>
          <w:b w:val="false"/>
          <w:bCs w:val="false"/>
          <w:i/>
          <w:iCs/>
          <w:color w:val="444444"/>
          <w:sz w:val="20"/>
          <w:szCs w:val="20"/>
        </w:rPr>
        <w:t xml:space="preserve">NYU Shanghai / IFDT Belgrade / 纽约大学上海 · 贝尔格莱德大学IFDT</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Aleksandar Stojanovic is Assistant Professor of Practice in Economics at NYU Shanghai and Interim Director of the Institute for Cities and Real Estate in Emerging Markets (ICREEM). He is affiliated with the Institute for Philosophy and Social Theory (IFDT), University of Belgrade. He holds a PhD in Economics from the University of Turin and a PhD in Laws from the University of Ghent, as well as an MA in Philosophy from the University of Belgrade. His research focuses on the intersection of legal systems and informal institutional arrangements in international investment, trade, and finance, with a particular emphasis on Chinese money markets.</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Aleksandar Stojanović，纽约大学上海经济学实践助理教授，城市与新兴市场房地产研究所（ICREEM）代理所长。同时任贝尔格莱德大学哲学与社会理论研究所（IFDT）研究人员。拥有都灵大学经济学博士和根特大学法学博士学位，以及贝尔格莱德大学哲学硕士学位。研究方向为法律体系与非正式制度安排在国际投资、贸易和金融中的交互作用，尤其关注中国货币市场。</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Zhang Junhua 张俊华" descr="Photo of Zhang Junhua 张俊华" title="Zhang Junhua 张俊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Zhang Junhua 张俊华</w:t>
      </w:r>
    </w:p>
    <w:p>
      <w:pPr>
        <w:spacing w:after="80"/>
        <w:jc w:val="center"/>
      </w:pPr>
      <w:r>
        <w:rPr>
          <w:rFonts w:ascii="Arial" w:cs="Arial" w:eastAsia="Arial" w:hAnsi="Arial"/>
          <w:b w:val="false"/>
          <w:bCs w:val="false"/>
          <w:i/>
          <w:iCs/>
          <w:color w:val="444444"/>
          <w:sz w:val="20"/>
          <w:szCs w:val="20"/>
        </w:rPr>
        <w:t xml:space="preserve">Associate Professor, School of Marxism, ECNU / 华东师范大学马克思主义学院副教授</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Zhang Junhua is Associate Professor at the School of Marxism, East China Normal University. He holds a PhD in Education from the University of Birmingham, UK. He has served in several leadership roles at ECNU, including Vice President of the University Party School (2013-2022) and Vice Director of the Ministry of Education Higher Education Ideological and Political Team Training and Research Center. His research interests include educational leadership, teacher education, and ideological-political education in higher education.</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张俊华，华东师范大学马克思主义学院副教授。英国伯明翰大学教育学博士。曾任华东师范大学党校副校长（2013–2022）、教育部高校思政课教师研修培训中心副主任等职务。研究方向包括教育领导力、教师教育以及高校思想政治教育。</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Yan Fangjie 闫方洁" descr="Photo of Yan Fangjie 闫方洁" title="Yan Fangjie 闫方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Yan Fangjie 闫方洁</w:t>
      </w:r>
    </w:p>
    <w:p>
      <w:pPr>
        <w:spacing w:after="80"/>
        <w:jc w:val="center"/>
      </w:pPr>
      <w:r>
        <w:rPr>
          <w:rFonts w:ascii="Arial" w:cs="Arial" w:eastAsia="Arial" w:hAnsi="Arial"/>
          <w:b w:val="false"/>
          <w:bCs w:val="false"/>
          <w:i/>
          <w:iCs/>
          <w:color w:val="444444"/>
          <w:sz w:val="20"/>
          <w:szCs w:val="20"/>
        </w:rPr>
        <w:t xml:space="preserve">Professor, School of Marxism, ECNU / 华东师范大学马克思主义学院教授</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Yan Fangjie is Professor and Department Head at the School of Marxism, East China Normal University. She received her PhD from Renmin University of China in 2009. Her research focuses on Western Marxism and cultural critical theory, Marxist fundamental principles and their contemporary value, and contemporary Chinese ideological issues. She has been recognized as a Ministry of Education Young Changjiang Scholar, a National Propaganda Department Young Talent in Ideological and Cultural Communication, and a Shanghai Shuguang Scholar. She is the recipient of multiple national teaching awards, including the first National Ideological and Political Theory Course Teaching Exhibition Grand Prize.</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闫方洁，华东师范大学马克思主义学院教授、系主任。2009年毕业于中国人民大学，获法学博士学位，博士生导师。研究方向为西方马克思主义文化批判理论、马克思主义基本原理及其当代价值、当代中国意识形态问题。教育部青年长江学者、中宣部思想文化宣传青年英才、上海曙光学者。获首届全国高校思想政治理论课教学展示特等奖等多项教学荣誉。主持两项国家社科基金项目。</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Feng Li 冯莉" descr="Photo of Feng Li 冯莉" title="Feng Li 冯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Feng Li 冯莉</w:t>
      </w:r>
    </w:p>
    <w:p>
      <w:pPr>
        <w:spacing w:after="80"/>
        <w:jc w:val="center"/>
      </w:pPr>
      <w:r>
        <w:rPr>
          <w:rFonts w:ascii="Arial" w:cs="Arial" w:eastAsia="Arial" w:hAnsi="Arial"/>
          <w:b w:val="false"/>
          <w:bCs w:val="false"/>
          <w:i/>
          <w:iCs/>
          <w:color w:val="444444"/>
          <w:sz w:val="20"/>
          <w:szCs w:val="20"/>
        </w:rPr>
        <w:t xml:space="preserve">Professor, School of Marxism, ECNU / 华东师范大学马克思主义学院教授</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Feng Li is Professor and Doctoral Supervisor at the School of Marxism, East China Normal University. She also serves as Researcher at the Shanghai Research Center for Xi Jinping Thought on Socialism with Chinese Characteristics for a New Era, and holds appointments as Special Researcher at the Jing'an Party Building Think Tank and Consultant at the Zhaojiang Community Party School in Qingpu District. She previously served as Deputy Dean of the School of Marxism at the Shanghai Academy of Social Sciences and Chief Expert of the Academy's Innovation Project (Phase II). She holds a PhD in Law from Fudan University and was a visiting scholar at Clemson University, Harvard University (2014), and National Chengchi University in Taiwan (2019). Her research focuses on contemporary capitalism, socialism with Chinese characteristics, comparative politics, and modern Chinese history. She has led several major research projects including a National Social Science Fund Key Project on Western monopoly capitalism and its impact on China, and has published extensively in leading Chinese journals on topics spanning political economy, community governance, digital labor, and CPC history.</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冯莉，华东师范大学马克思主义学院教授，博士生导师。兼任上海市习近平新时代中国特色社会主义思想研究中心研究员、上海市静安党建智库特聘研究员、上海市青浦区赵巷镇社区党校讲师团顾问、上海市政治学会理事、上海市马克思主义研究会理事。曾任上海社会科学院马克思主义学院副院长、上海社会科学院创新工程第二轮项目首席专家。复旦大学法学博士（提前攻博），2014年起赴美国克莱姆森大学和哈佛大学访学，2019年赴台湾政治大学访学。主要研究领域为当代资本主义研究、中国特色社会主义研究、比较政治学分析和近现代史研究。主持国家社科基金重点项目"西方垄断资本主义发展新动向及对华影响研究"等多个重大课题，在《复旦学报》《政治学研究》《马克思主义研究》等核心期刊发表大量学术论文，出版多部学术专著。</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80"/>
        <w:jc w:val="left"/>
      </w:pPr>
      <w:r>
        <w:rPr>
          <w:rFonts w:ascii="Arial" w:cs="Arial" w:eastAsia="Arial" w:hAnsi="Arial"/>
          <w:b w:val="false"/>
          <w:bCs w:val="false"/>
          <w:i w:val="false"/>
          <w:iCs w:val="false"/>
          <w:color w:val="000000"/>
          <w:sz w:val="20"/>
          <w:szCs w:val="20"/>
        </w:rPr>
        <w:t xml:space="preserve"/>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W w:type="dxa" w:w="6591"/>
            <w:tcBorders>
              <w:top w:val="none" w:sz="0"/>
              <w:left w:val="none" w:sz="0"/>
              <w:bottom w:val="none" w:sz="0"/>
              <w:right w:val="none" w:sz="0"/>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24"/>
                <w:szCs w:val="24"/>
              </w:rPr>
              <w:t xml:space="preserve">PANEL 1 — 专题研讨（一）</w:t>
            </w:r>
          </w:p>
        </w:tc>
      </w:tr>
    </w:tbl>
    <w:p>
      <w:pPr>
        <w:spacing w:after="200"/>
        <w:jc w:val="left"/>
      </w:pPr>
      <w:r>
        <w:rPr>
          <w:rFonts w:ascii="Arial" w:cs="Arial" w:eastAsia="Arial" w:hAnsi="Arial"/>
          <w:b w:val="false"/>
          <w:bCs w:val="false"/>
          <w:i w:val="false"/>
          <w:iCs w:val="false"/>
          <w:color w:val="000000"/>
          <w:sz w:val="20"/>
          <w:szCs w:val="20"/>
        </w:rPr>
        <w:t xml:space="preserve"/>
      </w:r>
    </w:p>
    <w:p>
      <w:pPr>
        <w:spacing w:after="100"/>
        <w:jc w:val="center"/>
      </w:pPr>
      <w:r>
        <w:drawing>
          <wp:inline distT="0" distB="0" distL="0" distR="0">
            <wp:extent cx="790575" cy="790575"/>
            <wp:effectExtent t="0" r="0" b="0" l="0"/>
            <wp:docPr id="1" name="Wu Qiantao 吴潜涛" descr="Photo of Wu Qiantao 吴潜涛" title="Wu Qiantao 吴潜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Wu Qiantao 吴潜涛</w:t>
      </w:r>
    </w:p>
    <w:p>
      <w:pPr>
        <w:spacing w:after="80"/>
        <w:jc w:val="center"/>
      </w:pPr>
      <w:r>
        <w:rPr>
          <w:rFonts w:ascii="Arial" w:cs="Arial" w:eastAsia="Arial" w:hAnsi="Arial"/>
          <w:b w:val="false"/>
          <w:bCs w:val="false"/>
          <w:i/>
          <w:iCs/>
          <w:color w:val="444444"/>
          <w:sz w:val="20"/>
          <w:szCs w:val="20"/>
        </w:rPr>
        <w:t xml:space="preserve">Tsinghua University / 清华大学</w:t>
      </w:r>
    </w:p>
    <w:p>
      <w:pPr>
        <w:spacing w:after="40"/>
        <w:jc w:val="left"/>
      </w:pPr>
      <w:r>
        <w:rPr>
          <w:rFonts w:ascii="Arial" w:cs="Arial" w:eastAsia="Arial" w:hAnsi="Arial"/>
          <w:b/>
          <w:bCs/>
          <w:i w:val="false"/>
          <w:iCs w:val="false"/>
          <w:color w:val="000000"/>
          <w:sz w:val="22"/>
          <w:szCs w:val="22"/>
        </w:rPr>
        <w:t xml:space="preserve">Value Implication of Chinese Modernization</w:t>
      </w:r>
    </w:p>
    <w:p>
      <w:pPr>
        <w:spacing w:after="80"/>
        <w:jc w:val="left"/>
      </w:pPr>
      <w:r>
        <w:rPr>
          <w:rFonts w:ascii="Arial" w:cs="Arial" w:eastAsia="Arial" w:hAnsi="Arial"/>
          <w:b/>
          <w:bCs/>
          <w:i w:val="false"/>
          <w:iCs w:val="false"/>
          <w:color w:val="000000"/>
          <w:sz w:val="22"/>
          <w:szCs w:val="22"/>
        </w:rPr>
        <w:t xml:space="preserve">中国式现代化的价值底蕴</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Modernization signifies the progress of human civilization and the comprehensive development of human beings; its realization is inseparable from the support of values. Value is a constitutive element of modernization: it provides the driving force for modernization and determines its nature and direction. Attaching great importance to the role of values in modernization is a fine tradition of the Communist Party of China. Chinese-style modernization contains a profound value foundation, and its realization calls for the full realization of the function of core socialist values. The emphasis on value-guided modernization in the Chinese experience is also a manifestation of the laws governing modernization, and carries certain implications and lessons for the modernization efforts of other countries around the world.</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现代化标志着人类文明的进步和人的全面发展，其实现离不开价值力量的支撑。价值要素是现代化的构成要件，为现代化的实现提供动力，并决定现代化的性质和方向。高度重视价值力量在现代化建设中的地位和作用，是中国共产党的优良传统。中国式现代化蕴含着深厚的价值底蕴，其实现呼唤社会主义核心价值观功能的充分发辉。中国式现代化注重价值引领，是中国的经验，也是现代化建设规律的体现，对于世界其他国家的现代化建设具有一定启迪和借鉴意义。</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Wu Qiantao is one of the first Senior Professors of Humanities at Tsinghua University.</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清华大学首批文科资深教授</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Clara Mattei" descr="Photo of Clara Mattei" title="Clara Matt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Clara Mattei</w:t>
      </w:r>
    </w:p>
    <w:p>
      <w:pPr>
        <w:spacing w:after="80"/>
        <w:jc w:val="center"/>
      </w:pPr>
      <w:r>
        <w:rPr>
          <w:rFonts w:ascii="Arial" w:cs="Arial" w:eastAsia="Arial" w:hAnsi="Arial"/>
          <w:b w:val="false"/>
          <w:bCs w:val="false"/>
          <w:i/>
          <w:iCs/>
          <w:color w:val="444444"/>
          <w:sz w:val="20"/>
          <w:szCs w:val="20"/>
        </w:rPr>
        <w:t xml:space="preserve">University of Tulsa / President of FREE 塔尔萨大学</w:t>
      </w:r>
    </w:p>
    <w:p>
      <w:pPr>
        <w:spacing w:after="40"/>
        <w:jc w:val="left"/>
      </w:pPr>
      <w:r>
        <w:rPr>
          <w:rFonts w:ascii="Arial" w:cs="Arial" w:eastAsia="Arial" w:hAnsi="Arial"/>
          <w:b/>
          <w:bCs/>
          <w:i w:val="false"/>
          <w:iCs w:val="false"/>
          <w:color w:val="000000"/>
          <w:sz w:val="22"/>
          <w:szCs w:val="22"/>
        </w:rPr>
        <w:t xml:space="preserve">“Escape from Capitalism: The Economy Is Political and Other Liberating Truths”</w:t>
      </w:r>
    </w:p>
    <w:p>
      <w:pPr>
        <w:spacing w:after="80"/>
        <w:jc w:val="left"/>
      </w:pPr>
      <w:r>
        <w:rPr>
          <w:rFonts w:ascii="Arial" w:cs="Arial" w:eastAsia="Arial" w:hAnsi="Arial"/>
          <w:b/>
          <w:bCs/>
          <w:i w:val="false"/>
          <w:iCs w:val="false"/>
          <w:color w:val="000000"/>
          <w:sz w:val="22"/>
          <w:szCs w:val="22"/>
        </w:rPr>
        <w:t xml:space="preserve">“逃离资本主义：经济是政治性的，以及其他解放性的真理”</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The relationship between capitalism, austerity, and militarism is structural and unbreakable. Understanding this nexus is key to explaining the persistent inequality and social injustice that define contemporary Western societies. Drawing on a radical political economy framework, this talk examines how mainstream economic theory has helped sustain and legitimize this connection, while simultaneously constraining the emergence of viable alternatives.</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资本主义、紧缩政策与军国主义之间的关系是结构性的、不可割裂的。理解这一关联是解释当代西方社会中持续存在的不平等与社会不公正的关键。本报告基于激进政治经济学框架，考察主流经济学理论如何维持并合法化了这种联结，同时制约了可行替代方案的出现。</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Clara Mattei is Professor of Economics at the University of Tulsa and President of FREE (Forum for Real Economic Emancipation). She is the author of The Capital Order: How Economists Invented Austerity and Paved the Way to Fascism (University of Chicago Press).</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Clara Mattei是塔尔萨大学经济学教授，FREE（真正经济解放论坛）主席。著有《资本秩序：经济学家如何发明了紧缩政策并为法西斯主义铺平了道路》（芝加哥大学出版社）。</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Wang Binglin 王炳林" descr="Photo of Wang Binglin 王炳林" title="Wang Binglin 王炳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Wang Binglin 王炳林</w:t>
      </w:r>
    </w:p>
    <w:p>
      <w:pPr>
        <w:spacing w:after="80"/>
        <w:jc w:val="center"/>
      </w:pPr>
      <w:r>
        <w:rPr>
          <w:rFonts w:ascii="Arial" w:cs="Arial" w:eastAsia="Arial" w:hAnsi="Arial"/>
          <w:b w:val="false"/>
          <w:bCs w:val="false"/>
          <w:i/>
          <w:iCs/>
          <w:color w:val="444444"/>
          <w:sz w:val="20"/>
          <w:szCs w:val="20"/>
        </w:rPr>
        <w:t xml:space="preserve">Institute of Party History and Party Building, Beijing Normal University / 北京师范大学中共党史党建研究院</w:t>
      </w:r>
    </w:p>
    <w:p>
      <w:pPr>
        <w:spacing w:after="40"/>
        <w:jc w:val="left"/>
      </w:pPr>
      <w:r>
        <w:rPr>
          <w:rFonts w:ascii="Arial" w:cs="Arial" w:eastAsia="Arial" w:hAnsi="Arial"/>
          <w:b/>
          <w:bCs/>
          <w:i w:val="false"/>
          <w:iCs w:val="false"/>
          <w:color w:val="000000"/>
          <w:sz w:val="22"/>
          <w:szCs w:val="22"/>
        </w:rPr>
        <w:t xml:space="preserve">”Chinese-Style Modernization and High-Level Opening Up”</w:t>
      </w:r>
    </w:p>
    <w:p>
      <w:pPr>
        <w:spacing w:after="80"/>
        <w:jc w:val="left"/>
      </w:pPr>
      <w:r>
        <w:rPr>
          <w:rFonts w:ascii="Arial" w:cs="Arial" w:eastAsia="Arial" w:hAnsi="Arial"/>
          <w:b/>
          <w:bCs/>
          <w:i w:val="false"/>
          <w:iCs w:val="false"/>
          <w:color w:val="000000"/>
          <w:sz w:val="22"/>
          <w:szCs w:val="22"/>
        </w:rPr>
        <w:t xml:space="preserve">”中国式现代化与高水平对外开放”</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Currently, the unprecedented changes of a century are accelerating, economic globalization faces headwinds, and unilateralism and protectionism continue to rise. The steady advancement of Chinese-style modernization and China's strategic choice to continuously expand high-level opening up not only concern China's own long-term development but also profoundly affect the global development landscape and the transformation of the international order. This report explores the internal logic, practical pathways, and global significance of Chinese-style modernization and high-level opening up, elaborating on opening up as a distinctive hallmark of Chinese-style modernization, analyzing the new-stage characteristics of institutional opening, and discussing the contribution of the China approach to the reform of global governance.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当前，世界百年未有之大变局加速演进，经济全球化遭遇逆流，单边主义、保护主义持续抬头。中国式现代化的稳步推进与中国持续扩大高水平对外开放的战略抉择，不仅关乎中国自身的长远发展，更深刻影响全球发展格局与国际秩序变革。本报告围绕中国式现代化与高水平对外开放的内在逻辑、实践路径与世界意义展开探讨，阐述开放作为中国式现代化的鲜明标识，分析制度型开放的新阶段特征，并探讨中国方案对全球治理变革的贡献。</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Wang Binglin is Dean and Professor of the Institute of Party History and Party Building at Beijing Normal University.</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王炳林，北京师范大学中共党史党建研究院院长、教授。</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Fan Heping 樊和平" descr="Photo of Fan Heping 樊和平" title="Fan Heping 樊和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Fan Heping 樊和平</w:t>
      </w:r>
    </w:p>
    <w:p>
      <w:pPr>
        <w:spacing w:after="80"/>
        <w:jc w:val="center"/>
      </w:pPr>
      <w:r>
        <w:rPr>
          <w:rFonts w:ascii="Arial" w:cs="Arial" w:eastAsia="Arial" w:hAnsi="Arial"/>
          <w:b w:val="false"/>
          <w:bCs w:val="false"/>
          <w:i/>
          <w:iCs/>
          <w:color w:val="444444"/>
          <w:sz w:val="20"/>
          <w:szCs w:val="20"/>
        </w:rPr>
        <w:t xml:space="preserve">School of Humanities, Southeast University / 东南大学人文学院</w:t>
      </w:r>
    </w:p>
    <w:p>
      <w:pPr>
        <w:spacing w:after="40"/>
        <w:jc w:val="left"/>
      </w:pPr>
      <w:r>
        <w:rPr>
          <w:rFonts w:ascii="Arial" w:cs="Arial" w:eastAsia="Arial" w:hAnsi="Arial"/>
          <w:b/>
          <w:bCs/>
          <w:i w:val="false"/>
          <w:iCs w:val="false"/>
          <w:color w:val="000000"/>
          <w:sz w:val="22"/>
          <w:szCs w:val="22"/>
        </w:rPr>
        <w:t xml:space="preserve">”The Ethical Civilization View: The ‘Final Awakening’ of Extraordinary Ethics”</w:t>
      </w:r>
    </w:p>
    <w:p>
      <w:pPr>
        <w:spacing w:after="80"/>
        <w:jc w:val="left"/>
      </w:pPr>
      <w:r>
        <w:rPr>
          <w:rFonts w:ascii="Arial" w:cs="Arial" w:eastAsia="Arial" w:hAnsi="Arial"/>
          <w:b/>
          <w:bCs/>
          <w:i w:val="false"/>
          <w:iCs w:val="false"/>
          <w:color w:val="000000"/>
          <w:sz w:val="22"/>
          <w:szCs w:val="22"/>
        </w:rPr>
        <w:t xml:space="preserve">”伦理文明观：非常伦理的’最后觉悟’”</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The ‘clash of civilizations’ in today’s world is fundamentally a clash of civilization views. The unprecedented changes of a century, the COVID-19 pandemic and major natural disasters, high technology and aging—all these proclaim that the human world has entered an ‘extraordinary era’ in a panoramic way across the relations among cultural entities, the relations between humanity and the cosmos, and the relations of humanity with itself, encountering ‘extraordinary risks’ and anticipating ‘extraordinary ethics.’ Extraordinary ethics has three structural components: extraordinary ethical wisdom, extraordinary ethical forms, and extraordinary ethical awakening. Facing the ‘extraordinary’ challenges of this extraordinary era that ‘concern the continuity of our species,’ there is an urgent need to promote ‘extraordinary ethical awakening,’ to carry out an ethical revolution in civilization views, and to achieve the return and construction of an ethical civilization view. The ethical civilization view is a civilization view of the value ecology of the relations among the various elements within civilization, and it is also a civilization view of ‘a community with a shared future for mankind.’</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当今世界”文明的冲突”根本上是文明观的冲突。百年不遇之大变局、新冠疫情和重大自然灾害、高技术与老龄化，宣示人类世界从诸文化实体的关系、人类与宇宙自然的关系、人类与自身的关系全景式地进入”非常时代”，遭遇”非常风险”，期待”非常伦理”。非常伦理有非常伦理智慧、非常伦理形态、非常伦理觉悟三个结构。面对非常时代”关乎种族绵亘”的”非常”挑战，亟待推进”非常伦理觉悟”，进行文明观的伦理革命，实现伦理文明观的回归与建构。伦理文明观是文明内部诸要素关系的价值生态的文明观，也是”人类命运共同体”的文明观。</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Fan Heping (pen name Fan Hao) is a professor at the School of Humanities, Southeast University.</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樊和平（笔名樊浩），东南大学人文学院教授。</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Ulrich Klüh" descr="Photo of Ulrich Klüh" title="Ulrich Klü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Ulrich Klüh</w:t>
      </w:r>
    </w:p>
    <w:p>
      <w:pPr>
        <w:spacing w:after="80"/>
        <w:jc w:val="center"/>
      </w:pPr>
      <w:r>
        <w:rPr>
          <w:rFonts w:ascii="Arial" w:cs="Arial" w:eastAsia="Arial" w:hAnsi="Arial"/>
          <w:b w:val="false"/>
          <w:bCs w:val="false"/>
          <w:i/>
          <w:iCs/>
          <w:color w:val="444444"/>
          <w:sz w:val="20"/>
          <w:szCs w:val="20"/>
        </w:rPr>
        <w:t xml:space="preserve">Professor for International Political Economy and Ecology, Darmstadt Business School / 达姆施塔特应用科技大学</w:t>
      </w:r>
    </w:p>
    <w:p>
      <w:pPr>
        <w:spacing w:after="40"/>
        <w:jc w:val="left"/>
      </w:pPr>
      <w:r>
        <w:rPr>
          <w:rFonts w:ascii="Arial" w:cs="Arial" w:eastAsia="Arial" w:hAnsi="Arial"/>
          <w:b/>
          <w:bCs/>
          <w:i w:val="false"/>
          <w:iCs w:val="false"/>
          <w:color w:val="000000"/>
          <w:sz w:val="22"/>
          <w:szCs w:val="22"/>
        </w:rPr>
        <w:t xml:space="preserve">”The dialectics of economic enlightenment”</w:t>
      </w:r>
    </w:p>
    <w:p>
      <w:pPr>
        <w:spacing w:after="80"/>
        <w:jc w:val="left"/>
      </w:pPr>
      <w:r>
        <w:rPr>
          <w:rFonts w:ascii="Arial" w:cs="Arial" w:eastAsia="Arial" w:hAnsi="Arial"/>
          <w:b/>
          <w:bCs/>
          <w:i w:val="false"/>
          <w:iCs w:val="false"/>
          <w:color w:val="000000"/>
          <w:sz w:val="22"/>
          <w:szCs w:val="22"/>
        </w:rPr>
        <w:t xml:space="preserve">”经济启蒙的辩证法”</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The Frankfurt School relevance for current debates on new forms of socialism remains contested, especially when its insights are reframed to engage more directly with economic questions. While thinkers like Adorno and Horkheimer are often associated with critiques of culture, their broader concern with the stability and adaptability of capitalism can inform analyses of today’s economic structures—particularly the concentration of corporate power, the financialization of everyday life, and the persistence of inequality despite technological advancement. Their work encourages skepticism toward the idea that markets alone can deliver freedom, highlighting instead how economic systems reproduce domination in more subtle and institutionalized ways. For contemporary socialist thought, this opens space to revisit questions of ownership, planning, and democratic control of production, especially in sectors shaped by digital infrastructure and global supply chains. At the same time, their legacy can be extended by integrating more explicit economic frameworks—such as participatory planning, cooperative models, or post-growth approaches—that move beyond critique toward viable alternatives within a highly interconnected global economy.</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法兰克福学派与当代社会主义新形态讨论的关联性仍存争议，尤其是当其洞见被重新框定以更直接地回应经济问题时。虽然阿多诺和霍克海默常被视为文化批评家，但他们对资本主义稳定性与适应性的更广泛关切，能够为分析当今经济结构提供启示——尤其是企业权力的集中、日常生活的金融化，以及尽管技术进步但不平等依然持续存在等问题。他们的工作鼓励人们对市场能单独带来自由的观念持怀疑态度，转而揭示经济体系如何以更为隐蔽和制度化的方式再生产统治关系。对当代社会主义思想而言，这为重新审视所有权、计划与生产的民主控制等问题开辟了空间。同时，通过整合更明确的经济框架——如参与式计划、合作社模式或后增长路径——可以将其遗产延伸，超越批判走向高度互联的全球经济中的可行替代方案。</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Ulrich Klüh is a Professor for International Political Economy and Ecology at Darmstadt Business School. He is also a founding member and spokesperson for the board of the Center for Sustainable Economic and Corporate Policy (ZNWU). His research focuses on critical, political and applied perspectives on sustainability, economic and financial policies in the socio-ecological transformation, as well as the history and social theory of economic thought. Before joining Darmstadt University of Applied Sciences, he worked as an economist at the International Monetary Fund in Washington, D.C. He later moved to the German Council of Economic Experts, where he served as secretary general.</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Ulrich Klüh是达姆施塔特应用科技大学国际政治经济与生态学教授，也是可持续经济与企业政策中心（ZNWU）的创始成员和理事会发言人。他的研究聚焦于可持续性的批判性、政治性和应用性视角，社会生态转型中的经济与金融政策，以及经济思想的历史与社会理论。在加入达姆施塔特应用科技大学之前，他曾在国际货币基金组织（华盛顿特区）担任经济学家，后转任德国经济顾问委员会秘书长。</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John Haskell" descr="Photo of John Haskell" title="John Hask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John Haskell</w:t>
      </w:r>
    </w:p>
    <w:p>
      <w:pPr>
        <w:spacing w:after="80"/>
        <w:jc w:val="center"/>
      </w:pPr>
      <w:r>
        <w:rPr>
          <w:rFonts w:ascii="Arial" w:cs="Arial" w:eastAsia="Arial" w:hAnsi="Arial"/>
          <w:b w:val="false"/>
          <w:bCs w:val="false"/>
          <w:i/>
          <w:iCs/>
          <w:color w:val="444444"/>
          <w:sz w:val="20"/>
          <w:szCs w:val="20"/>
        </w:rPr>
        <w:t xml:space="preserve">University of Manchester Law School / 曼彻斯特大学法学院</w:t>
      </w:r>
    </w:p>
    <w:p>
      <w:pPr>
        <w:spacing w:after="40"/>
        <w:jc w:val="left"/>
      </w:pPr>
      <w:r>
        <w:rPr>
          <w:rFonts w:ascii="Arial" w:cs="Arial" w:eastAsia="Arial" w:hAnsi="Arial"/>
          <w:b/>
          <w:bCs/>
          <w:i w:val="false"/>
          <w:iCs w:val="false"/>
          <w:color w:val="000000"/>
          <w:sz w:val="22"/>
          <w:szCs w:val="22"/>
        </w:rPr>
        <w:t xml:space="preserve">”Global Law and Political Economy: The current status of debates and directions in the legal profession”</w:t>
      </w:r>
    </w:p>
    <w:p>
      <w:pPr>
        <w:spacing w:after="80"/>
        <w:jc w:val="left"/>
      </w:pPr>
      <w:r>
        <w:rPr>
          <w:rFonts w:ascii="Arial" w:cs="Arial" w:eastAsia="Arial" w:hAnsi="Arial"/>
          <w:b/>
          <w:bCs/>
          <w:i w:val="false"/>
          <w:iCs w:val="false"/>
          <w:color w:val="000000"/>
          <w:sz w:val="22"/>
          <w:szCs w:val="22"/>
        </w:rPr>
        <w:t xml:space="preserve">”全球法律与政治经济学：法律职业中的辩论现状与发展方向”</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Political Economy is trending as a conceptual framework and analytical toolkit for understanding the worlds of struggle that constitute global governance today. The presentation provides a brief historical context for this trend in the law academy, unpacks some of the key debates and interests within the literature, and provides a few ideas about directions forward. I want to suggest that there are at least two possible opportunities in the turn to political economy. First, it offers interesting directions for cross-disciplinary verifiable applied knowledge production by focusing on the economy of things. Second, with rising country tensions that threaten to slip into kinetic warfare and political misunderstanding, there is an increasing importance for cultures of expertise across geographies to form new friendships and channels of communication to support respectful relations and collaborative learning.</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政治经济学作为理解当今全球治理中各种斗争世界的概念框架和分析工具，正日益受到关注。本报告简要介绍了这一趋势在法学界的历史背景，梳理了文献中的关键辩论与研究兴趣，并提出了若干前进方向。我认为，政治经济学转向至少带来两个机遇：第一，它为跨学科的可验证应用知识生产提供了有趣方向，聚焦于事物经济学，特别是流动性的创造与流动。第二，随着国家间紧张局势加剧，各地区专业文化之间建立新的友谊与沟通渠道变得日益重要，以促进相互尊重与协作学习。</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Evgeny Morozov" descr="Photo of Evgeny Morozov" title="Evgeny Moroz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Evgeny Morozov</w:t>
      </w:r>
    </w:p>
    <w:p>
      <w:pPr>
        <w:spacing w:after="80"/>
        <w:jc w:val="center"/>
      </w:pPr>
      <w:r>
        <w:rPr>
          <w:rFonts w:ascii="Arial" w:cs="Arial" w:eastAsia="Arial" w:hAnsi="Arial"/>
          <w:b w:val="false"/>
          <w:bCs w:val="false"/>
          <w:i/>
          <w:iCs/>
          <w:color w:val="444444"/>
          <w:sz w:val="20"/>
          <w:szCs w:val="20"/>
        </w:rPr>
        <w:t xml:space="preserve">Author &amp; Researcher / 作家与研究者</w:t>
      </w:r>
    </w:p>
    <w:p>
      <w:pPr>
        <w:spacing w:after="40"/>
        <w:jc w:val="left"/>
      </w:pPr>
      <w:r>
        <w:rPr>
          <w:rFonts w:ascii="Arial" w:cs="Arial" w:eastAsia="Arial" w:hAnsi="Arial"/>
          <w:b/>
          <w:bCs/>
          <w:i w:val="false"/>
          <w:iCs w:val="false"/>
          <w:color w:val="000000"/>
          <w:sz w:val="22"/>
          <w:szCs w:val="22"/>
        </w:rPr>
        <w:t xml:space="preserve">"Transcending the Socialist Calculation Debate in the Age of AI: Learning from the Budapest School"</w:t>
      </w:r>
    </w:p>
    <w:p>
      <w:pPr>
        <w:spacing w:after="80"/>
        <w:jc w:val="left"/>
      </w:pPr>
      <w:r>
        <w:rPr>
          <w:rFonts w:ascii="Arial" w:cs="Arial" w:eastAsia="Arial" w:hAnsi="Arial"/>
          <w:b/>
          <w:bCs/>
          <w:i w:val="false"/>
          <w:iCs w:val="false"/>
          <w:color w:val="000000"/>
          <w:sz w:val="22"/>
          <w:szCs w:val="22"/>
        </w:rPr>
        <w:t xml:space="preserve">"人工智能时代超越社会主义计算辩论：从布达佩斯学派中汲取经验"</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For most of a century, the Socialist Calculation Debate was the left's most consequential argument about whether a non-market economy was even possible. After 1989 the verdict looked settled—Mises and Hayek had won, planning was computationally hopeless—until big data and AI reopened the case. Two camps now answer: the cybercommunists would harness computation to out-calculate the market and abolish it; Benanav's 'multi-criterial economy' admits plural, incommensurable values and simulates the trade-offs, then hands dynamism to market-like competition among budget-constrained firms.</w:t>
      </w:r>
    </w:p>
    <w:p>
      <w:pPr>
        <w:spacing w:after="60"/>
        <w:jc w:val="both"/>
      </w:pPr>
      <w:r>
        <w:rPr>
          <w:rFonts w:ascii="Arial" w:cs="Arial" w:eastAsia="Arial" w:hAnsi="Arial"/>
          <w:b w:val="false"/>
          <w:bCs w:val="false"/>
          <w:i w:val="false"/>
          <w:iCs w:val="false"/>
          <w:color w:val="000000"/>
          <w:sz w:val="18"/>
          <w:szCs w:val="18"/>
        </w:rPr>
        <w:t xml:space="preserve">This presentation turns to the Budapest School, and above all to György Márkus—a participant in the Korčula Summer School and a contributor to Praxis International. Against the 'technicist reductionism' he detects in Marx himself, Márkus shows that efficiency is a situated criterion: efficiency of what, in relation to what, within what limits is answered only historically, inside the practices that make a 'resource' or 'progress' legible at all. There is no transhistorical logic of technical development to compute. Denaturalize efficiency, and the calculation debate looks less like a problem to solve than a symptom.</w:t>
      </w:r>
    </w:p>
    <w:p>
      <w:pPr>
        <w:spacing w:after="60"/>
        <w:jc w:val="both"/>
      </w:pPr>
      <w:r>
        <w:rPr>
          <w:rFonts w:ascii="Arial" w:cs="Arial" w:eastAsia="Arial" w:hAnsi="Arial"/>
          <w:b w:val="false"/>
          <w:bCs w:val="false"/>
          <w:i w:val="false"/>
          <w:iCs w:val="false"/>
          <w:color w:val="000000"/>
          <w:sz w:val="18"/>
          <w:szCs w:val="18"/>
        </w:rPr>
        <w:t xml:space="preserve">AI is the lever for prying this open: a technology whose uses are discovered after deployment makes the instrumentalist conceit untenable and forces socialism to ask not how to coordinate tools but what form of life to compose with them. China is suggestive—diffusing AI into the lowest tiers of social life and letting people work out its uses in practice, rather than fixing in advance what it is for.</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一个世纪以来，社会主义计算辩论一直是左翼关于非市场经济是否可能的最重要论争。1989年后，判决似乎已成定局——米塞斯和哈耶克获胜了，计划在计算上是无望的——直到大数据和人工智能重新开启了这场讨论。目前有两个阵营作答：网络共产主义者要利用计算来超越市场的计算能力并废除市场；贝纳纳夫的'多准则经济'承认多元的、不可通约的价值并模拟其权衡取舍。</w:t>
      </w:r>
    </w:p>
    <w:p>
      <w:pPr>
        <w:spacing w:after="60"/>
        <w:jc w:val="both"/>
      </w:pPr>
      <w:r>
        <w:rPr>
          <w:rFonts w:ascii="Arial" w:cs="Arial" w:eastAsia="Arial" w:hAnsi="Arial"/>
          <w:b w:val="false"/>
          <w:bCs w:val="false"/>
          <w:i w:val="false"/>
          <w:iCs w:val="false"/>
          <w:color w:val="333333"/>
          <w:sz w:val="17"/>
          <w:szCs w:val="17"/>
        </w:rPr>
        <w:t xml:space="preserve">本报告转向布达佩斯学派，尤其是马尔库什·捷尔吉——科尔丘拉夏季学校的参与者和《实践国际》的撰稿人。针对他在马克思本人身上发现的'技术主义还原论'，马尔库什表明效率是一个情境化的标准。去自然化效率，计算辩论看起来更像是一种症状而非待解决的问题。</w:t>
      </w:r>
    </w:p>
    <w:p>
      <w:pPr>
        <w:spacing w:after="60"/>
        <w:jc w:val="both"/>
      </w:pPr>
      <w:r>
        <w:rPr>
          <w:rFonts w:ascii="Arial" w:cs="Arial" w:eastAsia="Arial" w:hAnsi="Arial"/>
          <w:b w:val="false"/>
          <w:bCs w:val="false"/>
          <w:i w:val="false"/>
          <w:iCs w:val="false"/>
          <w:color w:val="333333"/>
          <w:sz w:val="17"/>
          <w:szCs w:val="17"/>
        </w:rPr>
        <w:t xml:space="preserve">人工智能是撬动这一问题的杠杆：一项在部署后才发现其用途的技术使工具主义的自负站不住脚，迫使社会主义不再追问如何协调工具，而是追问与工具一起构成何种生活形式。中国的做法具有启示意义——将人工智能扩散到社会生活的最底层，让人们在实践中探索其用途，而非预先规定其用途。</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Evgeny Morozov is a writer and thinker on the political and social implications of technology. He is the founder of The Syllabus, a knowledge curation project. His books include The Net Delusion: The Dark Side of Internet Freedom and To Save Everything, Click Here: The Folly of Technological Solutionism. His writing has appeared in The New Yorker, The Guardian, Financial Times, London Review of Books, and many other publications. He is currently working on a major study of technology, planning, and political economy.</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叶夫根尼·莫罗佐夫是研究技术的政治与社会影响的作家和思想家。他是知识策展项目The Syllabus的创始人。著有《网络幻觉：互联网自由的阴暗面》和《点击此处拯救一切：技术解决主义的愚蠢》。其文章发表于《纽约客》、《卫报》、《金融时报》、《伦敦书评》等众多出版物。目前正在从事一项关于技术、计划和政治经济学的重要研究。</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Cui Zhiyuan 崔之元" descr="Photo of Cui Zhiyuan 崔之元" title="Cui Zhiyuan 崔之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Cui Zhiyuan 崔之元</w:t>
      </w:r>
    </w:p>
    <w:p>
      <w:pPr>
        <w:spacing w:after="80"/>
        <w:jc w:val="center"/>
      </w:pPr>
      <w:r>
        <w:rPr>
          <w:rFonts w:ascii="Arial" w:cs="Arial" w:eastAsia="Arial" w:hAnsi="Arial"/>
          <w:b w:val="false"/>
          <w:bCs w:val="false"/>
          <w:i/>
          <w:iCs/>
          <w:color w:val="444444"/>
          <w:sz w:val="20"/>
          <w:szCs w:val="20"/>
        </w:rPr>
        <w:t xml:space="preserve">Tsinghua University / 清华大学</w:t>
      </w:r>
    </w:p>
    <w:p>
      <w:pPr>
        <w:spacing w:after="40"/>
        <w:jc w:val="left"/>
      </w:pPr>
      <w:r>
        <w:rPr>
          <w:rFonts w:ascii="Arial" w:cs="Arial" w:eastAsia="Arial" w:hAnsi="Arial"/>
          <w:b/>
          <w:bCs/>
          <w:i w:val="false"/>
          <w:iCs w:val="false"/>
          <w:color w:val="000000"/>
          <w:sz w:val="22"/>
          <w:szCs w:val="22"/>
        </w:rPr>
        <w:t xml:space="preserve">”The Chinese Reform in light of Rawls/Meade ‘Liberal Socialism’”</w:t>
      </w:r>
    </w:p>
    <w:p>
      <w:pPr>
        <w:spacing w:after="80"/>
        <w:jc w:val="left"/>
      </w:pPr>
      <w:r>
        <w:rPr>
          <w:rFonts w:ascii="Arial" w:cs="Arial" w:eastAsia="Arial" w:hAnsi="Arial"/>
          <w:b/>
          <w:bCs/>
          <w:i w:val="false"/>
          <w:iCs w:val="false"/>
          <w:color w:val="000000"/>
          <w:sz w:val="22"/>
          <w:szCs w:val="22"/>
        </w:rPr>
        <w:t xml:space="preserve">”从罗尔斯/米德的”自由社会主义”看中国改革”</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Both in ‘A Theory of Justice’ (1971) and in ‘Justice as Fairness’ (2001), Rawls refers to James Meade. Rawls goes so far as to claim Meade’s ‘Property-Owning Democracy’ or ‘Liberal Socialism’ as the only regime satisfying his ‘two principles of justice’. Thomas Piketty also claims he is following James Meade’s footsteps. This paper explores to what extent we can say China’s economic reform since 1978 has some features, though imperfect and incomplete, of Meade’s ‘Liberal Socialism’.</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在《正义论》（1971）和《作为公平的正义》（2001）中，罗尔斯都引用了詹姆斯·米德的思想。罗尔斯甚至声称米德的”财产所有民主制”或”自由社会主义”是唯一满足其”正义两原则”的体制。托马斯·皮凯蒂也声称自己追随着詹姆斯·米德的脚步。本文探讨在多大程度上我们可以说，1978年以来的中国经济改革虽不完美、不完整，但具有米德”自由社会主义”的某些特征。</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Professor, School of Public Policy and Management, Tsinghua University</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清华大学公共管理学院教授</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80"/>
        <w:jc w:val="left"/>
      </w:pPr>
      <w:r>
        <w:rPr>
          <w:rFonts w:ascii="Arial" w:cs="Arial" w:eastAsia="Arial" w:hAnsi="Arial"/>
          <w:b w:val="false"/>
          <w:bCs w:val="false"/>
          <w:i w:val="false"/>
          <w:iCs w:val="false"/>
          <w:color w:val="000000"/>
          <w:sz w:val="20"/>
          <w:szCs w:val="20"/>
        </w:rPr>
        <w:t xml:space="preserve"/>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W w:type="dxa" w:w="6591"/>
            <w:tcBorders>
              <w:top w:val="none" w:sz="0"/>
              <w:left w:val="none" w:sz="0"/>
              <w:bottom w:val="none" w:sz="0"/>
              <w:right w:val="none" w:sz="0"/>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24"/>
                <w:szCs w:val="24"/>
              </w:rPr>
              <w:t xml:space="preserve">PANEL 2 — 专题研讨（二）</w:t>
            </w:r>
          </w:p>
        </w:tc>
      </w:tr>
    </w:tbl>
    <w:p>
      <w:pPr>
        <w:spacing w:after="200"/>
        <w:jc w:val="left"/>
      </w:pPr>
      <w:r>
        <w:rPr>
          <w:rFonts w:ascii="Arial" w:cs="Arial" w:eastAsia="Arial" w:hAnsi="Arial"/>
          <w:b w:val="false"/>
          <w:bCs w:val="false"/>
          <w:i w:val="false"/>
          <w:iCs w:val="false"/>
          <w:color w:val="000000"/>
          <w:sz w:val="20"/>
          <w:szCs w:val="20"/>
        </w:rPr>
        <w:t xml:space="preserve"/>
      </w:r>
    </w:p>
    <w:p>
      <w:pPr>
        <w:spacing w:after="100"/>
        <w:jc w:val="center"/>
      </w:pPr>
      <w:r>
        <w:drawing>
          <wp:inline distT="0" distB="0" distL="0" distR="0">
            <wp:extent cx="790575" cy="790575"/>
            <wp:effectExtent t="0" r="0" b="0" l="0"/>
            <wp:docPr id="1" name="Liu Jianjun 刘建军" descr="Photo of Liu Jianjun 刘建军" title="Liu Jianjun 刘建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Liu Jianjun 刘建军</w:t>
      </w:r>
    </w:p>
    <w:p>
      <w:pPr>
        <w:spacing w:after="80"/>
        <w:jc w:val="center"/>
      </w:pPr>
      <w:r>
        <w:rPr>
          <w:rFonts w:ascii="Arial" w:cs="Arial" w:eastAsia="Arial" w:hAnsi="Arial"/>
          <w:b w:val="false"/>
          <w:bCs w:val="false"/>
          <w:i/>
          <w:iCs/>
          <w:color w:val="444444"/>
          <w:sz w:val="20"/>
          <w:szCs w:val="20"/>
        </w:rPr>
        <w:t xml:space="preserve">Professor, School of Marxism, Renmin University of China / 中国人民大学马克思主义学院教授</w:t>
      </w:r>
    </w:p>
    <w:p>
      <w:pPr>
        <w:spacing w:after="40"/>
        <w:jc w:val="left"/>
      </w:pPr>
      <w:r>
        <w:rPr>
          <w:rFonts w:ascii="Arial" w:cs="Arial" w:eastAsia="Arial" w:hAnsi="Arial"/>
          <w:b/>
          <w:bCs/>
          <w:i w:val="false"/>
          <w:iCs w:val="false"/>
          <w:color w:val="000000"/>
          <w:sz w:val="22"/>
          <w:szCs w:val="22"/>
        </w:rPr>
        <w:t xml:space="preserve">”A Conceptual Analysis of 'Chinese-Style Modernization'”</w:t>
      </w:r>
    </w:p>
    <w:p>
      <w:pPr>
        <w:spacing w:after="80"/>
        <w:jc w:val="left"/>
      </w:pPr>
      <w:r>
        <w:rPr>
          <w:rFonts w:ascii="Arial" w:cs="Arial" w:eastAsia="Arial" w:hAnsi="Arial"/>
          <w:b/>
          <w:bCs/>
          <w:i w:val="false"/>
          <w:iCs w:val="false"/>
          <w:color w:val="000000"/>
          <w:sz w:val="22"/>
          <w:szCs w:val="22"/>
        </w:rPr>
        <w:t xml:space="preserve">”「中国式现代化」的概念辨析”</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Chinese-style modernization is not limited to the narrow sense of a 'path'; it also encompasses a goal dimension. It was originally one aspect within socialism with Chinese characteristics, but due to its special importance it has been particularly emphasized. In this process, the concept has continuously expanded, even reaching a scope comparable to 'socialism with Chinese characteristics.' However, it is expected to contract somewhat, ultimately becoming a concept of moderate scope.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中国式现代化不只是狭义的”道路”意义上的，也包括目标维度；它本来是中国特色社会主义中的一个方面，但因为其特殊重要性而得到特别强调。在此过程中这个概念不断放大，甚至达到与”中国特色社会主义”范围相当。但它应该还会有所回落，最终成为一个中等程度的概念。</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Zhao Sikong 赵司空" descr="Photo of Zhao Sikong 赵司空" title="Zhao Sikong 赵司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Zhao Sikong 赵司空</w:t>
      </w:r>
    </w:p>
    <w:p>
      <w:pPr>
        <w:spacing w:after="80"/>
        <w:jc w:val="center"/>
      </w:pPr>
      <w:r>
        <w:rPr>
          <w:rFonts w:ascii="Arial" w:cs="Arial" w:eastAsia="Arial" w:hAnsi="Arial"/>
          <w:b w:val="false"/>
          <w:bCs w:val="false"/>
          <w:i/>
          <w:iCs/>
          <w:color w:val="444444"/>
          <w:sz w:val="20"/>
          <w:szCs w:val="20"/>
        </w:rPr>
        <w:t xml:space="preserve">Full Professor, Institute of Philosophy, Shanghai Academy of Social Sciences / 上海社会科学院哲学研究所研究员</w:t>
      </w:r>
    </w:p>
    <w:p>
      <w:pPr>
        <w:spacing w:after="40"/>
        <w:jc w:val="left"/>
      </w:pPr>
      <w:r>
        <w:rPr>
          <w:rFonts w:ascii="Arial" w:cs="Arial" w:eastAsia="Arial" w:hAnsi="Arial"/>
          <w:b/>
          <w:bCs/>
          <w:i w:val="false"/>
          <w:iCs w:val="false"/>
          <w:color w:val="000000"/>
          <w:sz w:val="22"/>
          <w:szCs w:val="22"/>
        </w:rPr>
        <w:t xml:space="preserve">”Daobi (倒逼): ‘Reverse Force’ on the Chinese Path to Modernization”</w:t>
      </w:r>
    </w:p>
    <w:p>
      <w:pPr>
        <w:spacing w:after="80"/>
        <w:jc w:val="left"/>
      </w:pPr>
      <w:r>
        <w:rPr>
          <w:rFonts w:ascii="Arial" w:cs="Arial" w:eastAsia="Arial" w:hAnsi="Arial"/>
          <w:b/>
          <w:bCs/>
          <w:i w:val="false"/>
          <w:iCs w:val="false"/>
          <w:color w:val="000000"/>
          <w:sz w:val="22"/>
          <w:szCs w:val="22"/>
        </w:rPr>
        <w:t xml:space="preserve">”倒逼：中国式现代化道路上的”逆向力量””</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Daobi can mean ‘pressure,’ ‘reverse force,’ ‘reversal of pressure,’ ‘occasioning,’ or ‘nudging.’ The critical implication of daobi not only reveals the dynamic interplay between top and down, but also embodies the self-rectifying mechanism and immanent critique of governance, which emphasizes transforming critique into a constructive force. As a critical concept, daobi operates differently. Scholars produced this term, which has been adopted and creatively reworked at the highest levels of political discourse. Scholars’ interpretation of daobi had influenced the central government’s ideas of governance. It tells the story of how daobi evolved into a conceptual instrument of governance: a concept denoting a system-internal feedback mechanism or self-regulating mode of governance in which feedback and corrections from society and the economy sustain political balance and purpose. At the same time, daobi also emerges as a potential keyword of immanent critique—that is, a critique that operates from within the governing system’s own principles and values. Thus, daobi reveals a dialectic of self-correction at the heart of Chinese ideas of governance.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倒逼可以表示”压力”、”逆向力量”、”压力逆转”、”促成”或”推动”。倒逼的批判性含义不仅揭示了上下之间的动态互动，还体现了治理的自我纠正机制和内在批判，强调将批判转化为建设性力量。作为一个批判性概念，倒逼有其独特的运作方式。学者们创造了这个术语，它被最高层政治话语所采纳并创造性地加以运用。学者们对倒逼的阐释影响了中央政府的治理理念。它讲述了倒逼如何演变为一种治理的概念工具：一个表示系统内部反馈机制或自我调节治理模式的概念，其中来自社会和经济的反馈和纠正维持了政治平衡和目标。同时，倒逼也作为内在批判的潜在关键词出现——即从治理体系自身的原则和价值观内部进行的批判。因此，倒逼揭示了中国治理理念核心的自我纠正辩证法。</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Sikong Zhao, PhD, Full Professor, Institute of Philosophy, Shanghai Academy of Social Sciences, Shanghai, China. Her research interests are political theories, Western Marxism, Neo-Marxism in Central and Eastern Europe.</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赵司空，博士，上海社会科学院哲学研究所研究员。研究方向为政治理论、西方马克思主义、中东欧新马克思主义。</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Andrea Jovanović" descr="Photo of Andrea Jovanović" title="Andrea Jovan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Andrea Jovanović</w:t>
      </w:r>
    </w:p>
    <w:p>
      <w:pPr>
        <w:spacing w:after="80"/>
        <w:jc w:val="center"/>
      </w:pPr>
      <w:r>
        <w:rPr>
          <w:rFonts w:ascii="Arial" w:cs="Arial" w:eastAsia="Arial" w:hAnsi="Arial"/>
          <w:b w:val="false"/>
          <w:bCs w:val="false"/>
          <w:i/>
          <w:iCs/>
          <w:color w:val="444444"/>
          <w:sz w:val="20"/>
          <w:szCs w:val="20"/>
        </w:rPr>
        <w:t xml:space="preserve">Institute for Political Studies, Belgrade / 贝尔格莱德政治学研究所</w:t>
      </w:r>
    </w:p>
    <w:p>
      <w:pPr>
        <w:spacing w:after="40"/>
        <w:jc w:val="left"/>
      </w:pPr>
      <w:r>
        <w:rPr>
          <w:rFonts w:ascii="Arial" w:cs="Arial" w:eastAsia="Arial" w:hAnsi="Arial"/>
          <w:b/>
          <w:bCs/>
          <w:i w:val="false"/>
          <w:iCs w:val="false"/>
          <w:color w:val="000000"/>
          <w:sz w:val="22"/>
          <w:szCs w:val="22"/>
        </w:rPr>
        <w:t xml:space="preserve">”Beyond the Linguistic Turn: Chinese Marxism and the Divergent Genealogies of Twentieth-Century Marxist Thought”</w:t>
      </w:r>
    </w:p>
    <w:p>
      <w:pPr>
        <w:spacing w:after="80"/>
        <w:jc w:val="left"/>
      </w:pPr>
      <w:r>
        <w:rPr>
          <w:rFonts w:ascii="Arial" w:cs="Arial" w:eastAsia="Arial" w:hAnsi="Arial"/>
          <w:b/>
          <w:bCs/>
          <w:i w:val="false"/>
          <w:iCs w:val="false"/>
          <w:color w:val="000000"/>
          <w:sz w:val="22"/>
          <w:szCs w:val="22"/>
        </w:rPr>
        <w:t xml:space="preserve">”超越语言学转向：中国马克思主义与二十世纪马克思主义思想的分歧谱系”</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This presentation seeks to conceptualize Chinese Marxism not as a derivative or belated form of Marxist orthodoxy, but as a structurally distinct trajectory within global Marxism. It advances the thesis that Chinese Marxism evolved along a path fundamentally different from Western Marxism because it did not internalize three decisive intellectual transformations that reshaped twentieth-century Western theory: the linguistic turn, the integration of psychoanalysis into critical social theory, and the epistemological rupture associated with postmodernism.</w:t>
      </w:r>
    </w:p>
    <w:p>
      <w:pPr>
        <w:spacing w:after="60"/>
        <w:jc w:val="both"/>
      </w:pPr>
      <w:r>
        <w:rPr>
          <w:rFonts w:ascii="Arial" w:cs="Arial" w:eastAsia="Arial" w:hAnsi="Arial"/>
          <w:b w:val="false"/>
          <w:bCs w:val="false"/>
          <w:i w:val="false"/>
          <w:iCs w:val="false"/>
          <w:color w:val="000000"/>
          <w:sz w:val="18"/>
          <w:szCs w:val="18"/>
        </w:rPr>
        <w:t xml:space="preserve">Whereas Western Marxism gradually displaced classical historical materialism toward questions of subjectivity, discourse, ideology, and symbolic mediation, Chinese Marxism remained anchored in categories of productive forces, social contradiction, and state-mediated transformation. The Western encounter with Freud, and later with the post-structuralist critique of foundations, reoriented Marxism toward language, desire, and micro-power. By contrast, Chinese Marxism largely bypassed these theoretical displacements, preserving a stronger continuity with a strategic, developmental, and civilizational reading of Marxism.</w:t>
      </w:r>
    </w:p>
    <w:p>
      <w:pPr>
        <w:spacing w:after="60"/>
        <w:jc w:val="both"/>
      </w:pPr>
      <w:r>
        <w:rPr>
          <w:rFonts w:ascii="Arial" w:cs="Arial" w:eastAsia="Arial" w:hAnsi="Arial"/>
          <w:b w:val="false"/>
          <w:bCs w:val="false"/>
          <w:i w:val="false"/>
          <w:iCs w:val="false"/>
          <w:color w:val="000000"/>
          <w:sz w:val="18"/>
          <w:szCs w:val="18"/>
        </w:rPr>
        <w:t xml:space="preserve">By reconstructing these divergent genealogies, the presentation proposes a pluralization of Marxism that moves beyond Eurocentric periodization. It argues that Chinese Marxism should be understood as a form of ‘non-linguistic’ or ‘post-Western’ Marxism—one that resists the epistemological self-dissolution experienced by much of Western theory after the linguistic and postmodern turns.</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本报告试图将中国马克思主义概念化，不是作为马克思主义正统的派生或迟到形式，而是作为全球马克思主义中一条结构性独特的轨迹。它提出了这样一个论点：中国马克思主义沿着一条与西方马克思主义根本不同的道路演进，因为它没有内化重塑二十世纪西方理论的三个决定性知识转型：语言学转向、精神分析学融入批判社会理论，以及与后现代主义相关的认识论断裂。</w:t>
      </w:r>
    </w:p>
    <w:p>
      <w:pPr>
        <w:spacing w:after="60"/>
        <w:jc w:val="both"/>
      </w:pPr>
      <w:r>
        <w:rPr>
          <w:rFonts w:ascii="Arial" w:cs="Arial" w:eastAsia="Arial" w:hAnsi="Arial"/>
          <w:b w:val="false"/>
          <w:bCs w:val="false"/>
          <w:i w:val="false"/>
          <w:iCs w:val="false"/>
          <w:color w:val="333333"/>
          <w:sz w:val="17"/>
          <w:szCs w:val="17"/>
        </w:rPr>
        <w:t xml:space="preserve">西方马克思主义逐渐将古典历史唯物主义转向主体性、话语、意识形态和符号中介等问题，而中国马克思主义则始终扎根于生产力、社会矛盾和国家中介转型等范畴。通过重建这些分歧的谱系，本报告提出了一种超越欧洲中心主义分期的马克思主义多元化方案，认为中国马克思主义应被理解为一种’非语言学’或’后西方’马克思主义。</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Vukan Marković" descr="Photo of Vukan Marković" title="Vukan Mark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Vukan Marković</w:t>
      </w:r>
    </w:p>
    <w:p>
      <w:pPr>
        <w:spacing w:after="80"/>
        <w:jc w:val="center"/>
      </w:pPr>
      <w:r>
        <w:rPr>
          <w:rFonts w:ascii="Arial" w:cs="Arial" w:eastAsia="Arial" w:hAnsi="Arial"/>
          <w:b w:val="false"/>
          <w:bCs w:val="false"/>
          <w:i/>
          <w:iCs/>
          <w:color w:val="444444"/>
          <w:sz w:val="20"/>
          <w:szCs w:val="20"/>
        </w:rPr>
        <w:t xml:space="preserve">University of Cambridge / IFDT Belgrade / 剑桥大学 / 贝尔格莱德IFDT</w:t>
      </w:r>
    </w:p>
    <w:p>
      <w:pPr>
        <w:spacing w:after="40"/>
        <w:jc w:val="left"/>
      </w:pPr>
      <w:r>
        <w:rPr>
          <w:rFonts w:ascii="Arial" w:cs="Arial" w:eastAsia="Arial" w:hAnsi="Arial"/>
          <w:b/>
          <w:bCs/>
          <w:i w:val="false"/>
          <w:iCs w:val="false"/>
          <w:color w:val="000000"/>
          <w:sz w:val="22"/>
          <w:szCs w:val="22"/>
        </w:rPr>
        <w:t xml:space="preserve">”Socialism, the State, and Historical Exhaustion: Rethinking the Legacy of Western Left”</w:t>
      </w:r>
    </w:p>
    <w:p>
      <w:pPr>
        <w:spacing w:after="80"/>
        <w:jc w:val="left"/>
      </w:pPr>
      <w:r>
        <w:rPr>
          <w:rFonts w:ascii="Arial" w:cs="Arial" w:eastAsia="Arial" w:hAnsi="Arial"/>
          <w:b/>
          <w:bCs/>
          <w:i w:val="false"/>
          <w:iCs w:val="false"/>
          <w:color w:val="000000"/>
          <w:sz w:val="22"/>
          <w:szCs w:val="22"/>
        </w:rPr>
        <w:t xml:space="preserve">”社会主义、国家与历史耗竭：重新思考西方左翼的遗产”</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What can we say about the metahistorical legacy of socialism and the left in the West thirty-six years after the collapse of the Communist bloc in Europe? The usual answer is that the left was gradually absorbed into neoliberal capitalism and liberal democracy, and has since searched for an alternative, non-socialist identity. But this account too easily separates the left from its institutional roots. A more convincing reading suggests that the twentieth-century socialist left was shaped by a twofold historical process: it did not abolish capitalism, rather it transformed it decisively by expanding democracy, building welfare institutions, securing social rights, and regulating the economy. At the same time, these achievements narrowed socialism’s transformative horizons because they were won within existing political and state structures.</w:t>
      </w:r>
    </w:p>
    <w:p>
      <w:pPr>
        <w:spacing w:after="60"/>
        <w:jc w:val="both"/>
      </w:pPr>
      <w:r>
        <w:rPr>
          <w:rFonts w:ascii="Arial" w:cs="Arial" w:eastAsia="Arial" w:hAnsi="Arial"/>
          <w:b w:val="false"/>
          <w:bCs w:val="false"/>
          <w:i w:val="false"/>
          <w:iCs w:val="false"/>
          <w:color w:val="000000"/>
          <w:sz w:val="18"/>
          <w:szCs w:val="18"/>
        </w:rPr>
        <w:t xml:space="preserve">What later appeared as historical exhaustion was therefore not simply the result of failure, but the afterlife of a partial success that reshaped the system without overcoming it. Once radical aspiration entered the institutions of the state, it became governable, disciplined, and constrained by the logic of institutional order. The story of European socialism, then, is neither a heroic march towards emancipation nor a simple narrative of betrayal and decline, but the history of a political project whose greatest achievements were both realised and limited through the state.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在欧洲共产主义阵营崩溃三十六年后，我们如何评价社会主义和西方左翼的元历史遗产？通常的回答是，左翼逐渐被新自由主义资本主义和自由民主所吸收，此后一直在寻找替代性的非社会主义身份。但这种说法过于轻易地将左翼与其制度根基分离。更令人信服的解读认为，二十世纪的社会主义左翼经历了双重历史进程：它没有废除资本主义，而是通过扩大民主、建设福利制度、保障社会权利和调控经济来深刻地改变了资本主义。然而，这些成就也缩窄了社会主义的变革视野，因为它们是在现有政治和国家结构内取得的。</w:t>
      </w:r>
    </w:p>
    <w:p>
      <w:pPr>
        <w:spacing w:after="60"/>
        <w:jc w:val="both"/>
      </w:pPr>
      <w:r>
        <w:rPr>
          <w:rFonts w:ascii="Arial" w:cs="Arial" w:eastAsia="Arial" w:hAnsi="Arial"/>
          <w:b w:val="false"/>
          <w:bCs w:val="false"/>
          <w:i w:val="false"/>
          <w:iCs w:val="false"/>
          <w:color w:val="333333"/>
          <w:sz w:val="17"/>
          <w:szCs w:val="17"/>
        </w:rPr>
        <w:t xml:space="preserve">后来表现为历史耗竭的东西，并非简单的失败结果，而是一种局部成功的后续效应——它重塑了体系却未超越它。欧洲社会主义的故事既非走向解放的英雄壮举，也非背叛与衰落的简单叙事，而是一个政治项目的历史，其最大成就通过国家这一媒介得以实现，但也因此受到限制。</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Jia Kai 贾开" descr="Photo of Jia Kai 贾开" title="Jia Kai 贾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Jia Kai 贾开</w:t>
      </w:r>
    </w:p>
    <w:p>
      <w:pPr>
        <w:spacing w:after="80"/>
        <w:jc w:val="center"/>
      </w:pPr>
      <w:r>
        <w:rPr>
          <w:rFonts w:ascii="Arial" w:cs="Arial" w:eastAsia="Arial" w:hAnsi="Arial"/>
          <w:b w:val="false"/>
          <w:bCs w:val="false"/>
          <w:i/>
          <w:iCs/>
          <w:color w:val="444444"/>
          <w:sz w:val="20"/>
          <w:szCs w:val="20"/>
        </w:rPr>
        <w:t xml:space="preserve">Professor, School of International and Public Affairs, Shanghai Jiao Tong University / 上海交通大学国际与公共事务学院教授</w:t>
      </w:r>
    </w:p>
    <w:p>
      <w:pPr>
        <w:spacing w:after="40"/>
        <w:jc w:val="left"/>
      </w:pPr>
      <w:r>
        <w:rPr>
          <w:rFonts w:ascii="Arial" w:cs="Arial" w:eastAsia="Arial" w:hAnsi="Arial"/>
          <w:b/>
          <w:bCs/>
          <w:i w:val="false"/>
          <w:iCs w:val="false"/>
          <w:color w:val="000000"/>
          <w:sz w:val="22"/>
          <w:szCs w:val="22"/>
        </w:rPr>
        <w:t xml:space="preserve">”AI and the Possible Future of Economic Democracy in China: Experiments and Reflections”</w:t>
      </w:r>
    </w:p>
    <w:p>
      <w:pPr>
        <w:spacing w:after="80"/>
        <w:jc w:val="left"/>
      </w:pPr>
      <w:r>
        <w:rPr>
          <w:rFonts w:ascii="Arial" w:cs="Arial" w:eastAsia="Arial" w:hAnsi="Arial"/>
          <w:b/>
          <w:bCs/>
          <w:i w:val="false"/>
          <w:iCs w:val="false"/>
          <w:color w:val="000000"/>
          <w:sz w:val="22"/>
          <w:szCs w:val="22"/>
        </w:rPr>
        <w:t xml:space="preserve">”人工智能与中国经济民主的可能未来：实验与反思”</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The western-dominant model of technology innovation, especially in the fields of AI, has been highly centralized and hyper-scaled. Recent experiments of AI in China have forked the dominant model and illustrated the possibility of economic democracy which is characterized by the rise of open-source AI ecosystem and dynamics in related fields including the semi-conductor industry. The talk will explain the emerging experiments in China and discuss its political economic impacts.</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在人工智能领域，以西方为主导的技术创新模式高度集中且超大规模化。中国近期的人工智能实验已经分叉了主导模式，展示了经济民主的可能性，其特征是开源人工智能生态系统的兴起以及包括半导体产业在内的相关领域的活力。本报告将解释中国正在出现的实验并讨论其政治经济影响。</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Kai Jia, professor, School of International and Public Affairs, Shanghai Jiao Tong University. He is the Fulbright Scholar, visiting scholar in UC Davis, ETLA (Helsinki) and EBS (Tallinn). His research interests mainly lie in the intersection between digital technology and public policy, covering issues like Governance of AI and Blockchain, Digital Economy, Global Digital Governance, etc. He has published monographs such as An Internet of Cooperation (Commercial Press, 2024) and Towards a Digital Future (Social Sciences Academic Press, 2022).</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贾开，上海交通大学国际与公共事务学院教授。富布赖特学者，曾任加州大学戴维斯分校、赫尔辛基ETLA经济研究所、塔林EBS大学访问学者。研究方向主要涉及数字技术与公共政策交叉领域。出版有《合作的互联网》（商务印书馆，2024年）和《走向数字化未来》（社会科学文献出版社，2022年）等专著。主持两项国家社科基金项目，参与起草了多项人工智能领域的国家伦理治理标准文件。</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80"/>
        <w:jc w:val="left"/>
      </w:pPr>
      <w:r>
        <w:rPr>
          <w:rFonts w:ascii="Arial" w:cs="Arial" w:eastAsia="Arial" w:hAnsi="Arial"/>
          <w:b w:val="false"/>
          <w:bCs w:val="false"/>
          <w:i w:val="false"/>
          <w:iCs w:val="false"/>
          <w:color w:val="000000"/>
          <w:sz w:val="20"/>
          <w:szCs w:val="20"/>
        </w:rPr>
        <w:t xml:space="preserve"/>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W w:type="dxa" w:w="6591"/>
            <w:tcBorders>
              <w:top w:val="none" w:sz="0"/>
              <w:left w:val="none" w:sz="0"/>
              <w:bottom w:val="none" w:sz="0"/>
              <w:right w:val="none" w:sz="0"/>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24"/>
                <w:szCs w:val="24"/>
              </w:rPr>
              <w:t xml:space="preserve">PANEL 3 — 专题研讨（三）</w:t>
            </w:r>
          </w:p>
        </w:tc>
      </w:tr>
    </w:tbl>
    <w:p>
      <w:pPr>
        <w:spacing w:after="200"/>
        <w:jc w:val="left"/>
      </w:pPr>
      <w:r>
        <w:rPr>
          <w:rFonts w:ascii="Arial" w:cs="Arial" w:eastAsia="Arial" w:hAnsi="Arial"/>
          <w:b w:val="false"/>
          <w:bCs w:val="false"/>
          <w:i w:val="false"/>
          <w:iCs w:val="false"/>
          <w:color w:val="000000"/>
          <w:sz w:val="20"/>
          <w:szCs w:val="20"/>
        </w:rPr>
        <w:t xml:space="preserve"/>
      </w:r>
    </w:p>
    <w:p>
      <w:pPr>
        <w:spacing w:after="100"/>
        <w:jc w:val="center"/>
      </w:pPr>
      <w:r>
        <w:drawing>
          <wp:inline distT="0" distB="0" distL="0" distR="0">
            <wp:extent cx="790575" cy="790575"/>
            <wp:effectExtent t="0" r="0" b="0" l="0"/>
            <wp:docPr id="1" name="Zhou Yuguang 周禹光" descr="Photo of Zhou Yuguang 周禹光" title="Zhou Yuguang 周禹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Zhou Yuguang 周禹光</w:t>
      </w:r>
    </w:p>
    <w:p>
      <w:pPr>
        <w:spacing w:after="80"/>
        <w:jc w:val="center"/>
      </w:pPr>
      <w:r>
        <w:rPr>
          <w:rFonts w:ascii="Arial" w:cs="Arial" w:eastAsia="Arial" w:hAnsi="Arial"/>
          <w:b w:val="false"/>
          <w:bCs w:val="false"/>
          <w:i/>
          <w:iCs/>
          <w:color w:val="444444"/>
          <w:sz w:val="20"/>
          <w:szCs w:val="20"/>
        </w:rPr>
        <w:t xml:space="preserve">Lecturer, Capital Normal University, Beijing / 首都师范大学</w:t>
      </w:r>
    </w:p>
    <w:p>
      <w:pPr>
        <w:spacing w:after="40"/>
        <w:jc w:val="left"/>
      </w:pPr>
      <w:r>
        <w:rPr>
          <w:rFonts w:ascii="Arial" w:cs="Arial" w:eastAsia="Arial" w:hAnsi="Arial"/>
          <w:b/>
          <w:bCs/>
          <w:i w:val="false"/>
          <w:iCs w:val="false"/>
          <w:color w:val="000000"/>
          <w:sz w:val="22"/>
          <w:szCs w:val="22"/>
        </w:rPr>
        <w:t xml:space="preserve">”Mutual Mirroring: How China and Yugoslavia Learned from Each Other’s Socialist Revolution and Construction”</w:t>
      </w:r>
    </w:p>
    <w:p>
      <w:pPr>
        <w:spacing w:after="80"/>
        <w:jc w:val="left"/>
      </w:pPr>
      <w:r>
        <w:rPr>
          <w:rFonts w:ascii="Arial" w:cs="Arial" w:eastAsia="Arial" w:hAnsi="Arial"/>
          <w:b/>
          <w:bCs/>
          <w:i w:val="false"/>
          <w:iCs w:val="false"/>
          <w:color w:val="000000"/>
          <w:sz w:val="22"/>
          <w:szCs w:val="22"/>
        </w:rPr>
        <w:t xml:space="preserve">”互鉴：中南两国如何相互学习社会主义革命与建设经验”</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My project takes ‘using the other as a mirror’ as its analytical lens, and centres on how China and Yugoslavia introduced, disseminated, interpreted, and absorbed each other’s experiences of socialist revolution and socialist construction. The study follows two main strands: first, it examines the process through which the Chinese and Yugoslav communist parties, through early contacts in the 1920s–1940s, came to understand each other’s revolutionary experience, with particular attention to how the experience of the Long March circulated within Yugoslavia’s anti-fascist resistance; second, it analyses exchanges of experiences of socialist construction from 1949 to the early 1990s, focusing especially on China’s attention to Yugoslavia’s self-management in the late 1970s and on the resonance of China’s reform and opening-up experience in the Yugoslav context of the 1980s crisis.</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本研究以’以他为镜’为分析视角，聚焦于中国和南斯拉夫如何引进、传播、诠释和吸收彼此的社会主义革命与建设经验。研究主要从两个方面展开：第一，考察中南两国共产党通过1920至1940年代的早期接触如何理解对方的革命经验，特别关注长征经验在南斯拉夫反法西斯抵抗运动中的传播；第二，分析1949年至1990年代初社会主义建设经验交流，尤其聚焦于中国在1970年代末对南斯拉夫自我管理的关注，以及中国改革开放经验在1980年代南斯拉夫危机背景下的回响。</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Zhou Yuguang (周禹光) is a lecturer at the Institute of Global and Area Studies, Capital Normal University in Beijing, China. He earned his PhD in East and Southeast European History at Ludwig Maximilian University of Munich in 2025. His research explores the history of Yugoslavia(s), nationhood as both ideology and lived experience, and the transnational entanglements of socialist ideas and practices.</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周禹光，首都师范大学全球和区域研究院讲师。2025年获慕尼黑大学东南欧历史学博士学位。研究方向为南斯拉夫史、民族性作为意识形态与生活经验，以及社会主义思想与实践的跨国纠缠。</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Sara Dragišić" descr="Photo of Sara Dragišić" title="Sara Dragiš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Sara Dragišić</w:t>
      </w:r>
    </w:p>
    <w:p>
      <w:pPr>
        <w:spacing w:after="80"/>
        <w:jc w:val="center"/>
      </w:pPr>
      <w:r>
        <w:rPr>
          <w:rFonts w:ascii="Arial" w:cs="Arial" w:eastAsia="Arial" w:hAnsi="Arial"/>
          <w:b w:val="false"/>
          <w:bCs w:val="false"/>
          <w:i/>
          <w:iCs/>
          <w:color w:val="444444"/>
          <w:sz w:val="20"/>
          <w:szCs w:val="20"/>
        </w:rPr>
        <w:t xml:space="preserve">IFDT Belgrade / 贝尔格莱德大学哲学与社会理论研究所</w:t>
      </w:r>
    </w:p>
    <w:p>
      <w:pPr>
        <w:spacing w:after="40"/>
        <w:jc w:val="left"/>
      </w:pPr>
      <w:r>
        <w:rPr>
          <w:rFonts w:ascii="Arial" w:cs="Arial" w:eastAsia="Arial" w:hAnsi="Arial"/>
          <w:b/>
          <w:bCs/>
          <w:i w:val="false"/>
          <w:iCs w:val="false"/>
          <w:color w:val="000000"/>
          <w:sz w:val="22"/>
          <w:szCs w:val="22"/>
        </w:rPr>
        <w:t xml:space="preserve">”Planning and uncertainty: socialist reform and the limits of economic rationality”</w:t>
      </w:r>
    </w:p>
    <w:p>
      <w:pPr>
        <w:spacing w:after="80"/>
        <w:jc w:val="left"/>
      </w:pPr>
      <w:r>
        <w:rPr>
          <w:rFonts w:ascii="Arial" w:cs="Arial" w:eastAsia="Arial" w:hAnsi="Arial"/>
          <w:b/>
          <w:bCs/>
          <w:i w:val="false"/>
          <w:iCs w:val="false"/>
          <w:color w:val="000000"/>
          <w:sz w:val="22"/>
          <w:szCs w:val="22"/>
        </w:rPr>
        <w:t xml:space="preserve">”计划与不确定性：社会主义改革与经济理性的局限”</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Socialist reforms in the late twentieth century emerge from a difficulty internal to planning itself. The issue is not simply economic but epistemic: how to govern an economy whose dynamics extend beyond the scope of centralized knowledge and prediction. This tension becomes particularly visible in how Yugoslav experiences of self-management were considered by Chinese reform-oriented economists and policymakers from the late 1970s onward.</w:t>
      </w:r>
    </w:p>
    <w:p>
      <w:pPr>
        <w:spacing w:after="60"/>
        <w:jc w:val="both"/>
      </w:pPr>
      <w:r>
        <w:rPr>
          <w:rFonts w:ascii="Arial" w:cs="Arial" w:eastAsia="Arial" w:hAnsi="Arial"/>
          <w:b w:val="false"/>
          <w:bCs w:val="false"/>
          <w:i w:val="false"/>
          <w:iCs w:val="false"/>
          <w:color w:val="000000"/>
          <w:sz w:val="18"/>
          <w:szCs w:val="18"/>
        </w:rPr>
        <w:t xml:space="preserve">What appears here is not the breakdown of planning, but a shift in how it operates: the question becomes how planning can function when its object cannot be fully known, anticipated, or hierarchically ordered. Economic rationality thus appears not as a universal framework, but as historically variable, shaped by different institutional and political contexts. Socialist reform can be understood as a reflexive process in which systems reorganize the conditions under which coordination becomes possible.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二十世纪晚期的社会主义改革源于计划本身的内在困难。这不仅仅是经济问题，更是认识论问题：如何治理一个其动态超出集中化知识和预测范围的经济体。这一紧张关系在南斯拉夫自我管理经验如何被1970年代末的中国改革导向经济学家和政策制定者所考量时尤为明显。</w:t>
      </w:r>
    </w:p>
    <w:p>
      <w:pPr>
        <w:spacing w:after="60"/>
        <w:jc w:val="both"/>
      </w:pPr>
      <w:r>
        <w:rPr>
          <w:rFonts w:ascii="Arial" w:cs="Arial" w:eastAsia="Arial" w:hAnsi="Arial"/>
          <w:b w:val="false"/>
          <w:bCs w:val="false"/>
          <w:i w:val="false"/>
          <w:iCs w:val="false"/>
          <w:color w:val="333333"/>
          <w:sz w:val="17"/>
          <w:szCs w:val="17"/>
        </w:rPr>
        <w:t xml:space="preserve">这里呈现的不是计划的崩溃，而是计划运作方式的转变：问题变成了当计划对象无法被充分了解、预见或等级化排序时，计划如何运作。经济理性因此不是一个普遍框架，而是历史可变的，受不同制度和政治背景的塑造。社会主义改革可被理解为一个反思性过程，系统在其中重组协调成为可能的条件。</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Sašo Furlan" descr="Photo of Sašo Furlan" title="Sašo Fur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Sašo Furlan</w:t>
      </w:r>
    </w:p>
    <w:p>
      <w:pPr>
        <w:spacing w:after="80"/>
        <w:jc w:val="center"/>
      </w:pPr>
      <w:r>
        <w:rPr>
          <w:rFonts w:ascii="Arial" w:cs="Arial" w:eastAsia="Arial" w:hAnsi="Arial"/>
          <w:b w:val="false"/>
          <w:bCs w:val="false"/>
          <w:i/>
          <w:iCs/>
          <w:color w:val="444444"/>
          <w:sz w:val="20"/>
          <w:szCs w:val="20"/>
        </w:rPr>
        <w:t xml:space="preserve">University of Ljubljana / 卢布尔雅那大学</w:t>
      </w:r>
    </w:p>
    <w:p>
      <w:pPr>
        <w:spacing w:after="40"/>
        <w:jc w:val="left"/>
      </w:pPr>
      <w:r>
        <w:rPr>
          <w:rFonts w:ascii="Arial" w:cs="Arial" w:eastAsia="Arial" w:hAnsi="Arial"/>
          <w:b/>
          <w:bCs/>
          <w:i w:val="false"/>
          <w:iCs w:val="false"/>
          <w:color w:val="000000"/>
          <w:sz w:val="22"/>
          <w:szCs w:val="22"/>
        </w:rPr>
        <w:t xml:space="preserve">”Instrumentalising the market: A Comparative Analysis of Yugoslavia’s Disintegration and China’s Resilience”</w:t>
      </w:r>
    </w:p>
    <w:p>
      <w:pPr>
        <w:spacing w:after="80"/>
        <w:jc w:val="left"/>
      </w:pPr>
      <w:r>
        <w:rPr>
          <w:rFonts w:ascii="Arial" w:cs="Arial" w:eastAsia="Arial" w:hAnsi="Arial"/>
          <w:b/>
          <w:bCs/>
          <w:i w:val="false"/>
          <w:iCs w:val="false"/>
          <w:color w:val="000000"/>
          <w:sz w:val="22"/>
          <w:szCs w:val="22"/>
        </w:rPr>
        <w:t xml:space="preserve">”市场工具化：南斯拉夫解体与中国韧性的比较分析”</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The discourse surrounding socialism and capitalism is frequently oversimplified into a rigid dichotomy of central planning versus free markets. This presentation challenges that binary through a comparative analysis of two socialist experiments that actively integrated market mechanisms: Yugoslavia’s late workers’ self-management era and China’s Reform and Opening-up period. Unlike the contemporaneous rise of neoliberalism in the West, both Yugoslavia and China attempted to utilize the market as a subordinate tool to achieve broader developmental and social objectives.</w:t>
      </w:r>
    </w:p>
    <w:p>
      <w:pPr>
        <w:spacing w:after="60"/>
        <w:jc w:val="both"/>
      </w:pPr>
      <w:r>
        <w:rPr>
          <w:rFonts w:ascii="Arial" w:cs="Arial" w:eastAsia="Arial" w:hAnsi="Arial"/>
          <w:b w:val="false"/>
          <w:bCs w:val="false"/>
          <w:i w:val="false"/>
          <w:iCs w:val="false"/>
          <w:color w:val="000000"/>
          <w:sz w:val="18"/>
          <w:szCs w:val="18"/>
        </w:rPr>
        <w:t xml:space="preserve">However, their trajectories offer a starkly divergent historical lesson. In Yugoslavia, the experiment ultimately failed. The deep integration of market imperatives eventually overpowered the stated political objectives, exacerbating social antagonisms, accelerating economic fragmentation and culminating in the state’s disintegration. Conversely, China successfully injected market dynamism into its economy without unraveling its socialist political setup. By exploring some of the institutional differences between the two models, this presentation aims to identify certain elements that might help us understand why China managed to harness market relations within a socialist framework, while the Yugoslav experiment ultimately fractured under their weight.</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围绕社会主义与资本主义的话语常被过度简化为中央计划与自由市场的僵化二元对立。本报告通过比较分析两个积极整合市场机制的社会主义实验来挑战这种二元论：南斯拉夫后期的工人自我管理时代和中国的改革开放时期。与西方同期新自由主义的兴起不同，南斯拉夫和中国都试图将市场作为实现更广泛发展和社会目标的从属工具。</w:t>
      </w:r>
    </w:p>
    <w:p>
      <w:pPr>
        <w:spacing w:after="60"/>
        <w:jc w:val="both"/>
      </w:pPr>
      <w:r>
        <w:rPr>
          <w:rFonts w:ascii="Arial" w:cs="Arial" w:eastAsia="Arial" w:hAnsi="Arial"/>
          <w:b w:val="false"/>
          <w:bCs w:val="false"/>
          <w:i w:val="false"/>
          <w:iCs w:val="false"/>
          <w:color w:val="333333"/>
          <w:sz w:val="17"/>
          <w:szCs w:val="17"/>
        </w:rPr>
        <w:t xml:space="preserve">然而，两者的轨迹提供了截然不同的历史教训。在南斯拉夫，实验最终失败了。市场逻辑的深度整合最终压倒了既定的政治目标，加剧了社会对抗、加速了经济碎片化并最终导致国家解体。相反，中国成功地将市场活力注入经济体系而未瓦解其社会主义政治架构。本报告旨在探讨两种模式之间的某些制度差异，以帮助我们理解中国为何能在社会主义框架内驾驭市场关系，而南斯拉夫实验却在市场压力下最终破裂。</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Sašo Furlan is a researcher at the Faculty of Arts, University of Ljubljana, Slovenia. He holds an MA in Political Science and a PhD in Philosophy. His primary research interests include Marx’s theory of value, as well as Marxist and Hegelian theories of the state. He is a member of the editorial board of the journal Borec and a columnist for the web portal Disenz.</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Sašo Furlan是斯洛文尼亚卢布尔雅那大学文学院研究员。拥有政治学硕士和哲学博士学位。主要研究方向包括马克思的价值理论，以及马克思主义和黑格尔主义的国家理论。他是Borec期刊编委会成员。</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Stefan Guzvica" descr="Photo of Stefan Guzvica" title="Stefan Guzv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Stefan Guzvica</w:t>
      </w:r>
    </w:p>
    <w:p>
      <w:pPr>
        <w:spacing w:after="80"/>
        <w:jc w:val="center"/>
      </w:pPr>
      <w:r>
        <w:rPr>
          <w:rFonts w:ascii="Arial" w:cs="Arial" w:eastAsia="Arial" w:hAnsi="Arial"/>
          <w:b w:val="false"/>
          <w:bCs w:val="false"/>
          <w:i/>
          <w:iCs/>
          <w:color w:val="444444"/>
          <w:sz w:val="20"/>
          <w:szCs w:val="20"/>
        </w:rPr>
        <w:t xml:space="preserve">Higher School of Economics, Moscow / 莫斯科高等经济学院</w:t>
      </w:r>
    </w:p>
    <w:p>
      <w:pPr>
        <w:spacing w:after="40"/>
        <w:jc w:val="left"/>
      </w:pPr>
      <w:r>
        <w:rPr>
          <w:rFonts w:ascii="Arial" w:cs="Arial" w:eastAsia="Arial" w:hAnsi="Arial"/>
          <w:b/>
          <w:bCs/>
          <w:i w:val="false"/>
          <w:iCs w:val="false"/>
          <w:color w:val="000000"/>
          <w:sz w:val="22"/>
          <w:szCs w:val="22"/>
        </w:rPr>
        <w:t xml:space="preserve">”Dependency Theory before Dependency Theory: The Legacy of Balkan Communism”</w:t>
      </w:r>
    </w:p>
    <w:p>
      <w:pPr>
        <w:spacing w:after="80"/>
        <w:jc w:val="left"/>
      </w:pPr>
      <w:r>
        <w:rPr>
          <w:rFonts w:ascii="Arial" w:cs="Arial" w:eastAsia="Arial" w:hAnsi="Arial"/>
          <w:b/>
          <w:bCs/>
          <w:i w:val="false"/>
          <w:iCs w:val="false"/>
          <w:color w:val="000000"/>
          <w:sz w:val="22"/>
          <w:szCs w:val="22"/>
        </w:rPr>
        <w:t xml:space="preserve">”依附理论之前的依附理论：巴尔干共产主义的遗产”</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This paper will examine the political debates in the Balkan communist parties in the 1920s and 1930s, which took place in the representative bodies of the Communist International and the various party presses. I will argue that the debates of the Balkan Marxists from this period have a contemporary significance due to their tackling of the issues of economic dependency. I will show how the Marxists of the Balkans became interested in issues of economic dependency upon realizing their countries’ newfound independence was undermined by the international movement of capital. The Balkan Marxists once again took up the issue of economic dependency and tried to analyze the position of their countries in the global capitalist system, seeing them either as dependent ‘semi-colonies’ or dependent states complicit in global imperialism. I will focus primarily on the ideas of the Yugoslav Kosta Novaković and the Romanian Solomon Timov.</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本文考察了1920至1930年代巴尔干共产党的政治辩论。我将论证，这一时期巴尔干马克思主义者的辩论因其对经济依附问题的探讨而具有当代意义。我将展示巴尔干马克思主义者如何在意识到本国新获得的独立被国际资本流动所削弱后，开始关注经济依附问题。巴尔干马克思主义者再次关注经济依附问题，试图分析其国家在全球资本主义体系中的地位，将它们视为依附性的’半殖民地’或参与全球帝国主义的依附国家。我将主要关注南斯拉夫的Kosta Novaković和罗马尼亚的Solomon Timov的思想。</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Zhu Huahui 朱华辉" descr="Photo of Zhu Huahui 朱华辉" title="Zhu Huahui 朱华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Zhu Huahui 朱华辉</w:t>
      </w:r>
    </w:p>
    <w:p>
      <w:pPr>
        <w:spacing w:after="80"/>
        <w:jc w:val="center"/>
      </w:pPr>
      <w:r>
        <w:rPr>
          <w:rFonts w:ascii="Arial" w:cs="Arial" w:eastAsia="Arial" w:hAnsi="Arial"/>
          <w:b w:val="false"/>
          <w:bCs w:val="false"/>
          <w:i/>
          <w:iCs/>
          <w:color w:val="444444"/>
          <w:sz w:val="20"/>
          <w:szCs w:val="20"/>
        </w:rPr>
        <w:t xml:space="preserve">Assistant Professor, Xiamen University / 厦门大学公共事务学院助理教授</w:t>
      </w:r>
    </w:p>
    <w:p>
      <w:pPr>
        <w:spacing w:after="40"/>
        <w:jc w:val="left"/>
      </w:pPr>
      <w:r>
        <w:rPr>
          <w:rFonts w:ascii="Arial" w:cs="Arial" w:eastAsia="Arial" w:hAnsi="Arial"/>
          <w:b/>
          <w:bCs/>
          <w:i w:val="false"/>
          <w:iCs w:val="false"/>
          <w:color w:val="000000"/>
          <w:sz w:val="22"/>
          <w:szCs w:val="22"/>
        </w:rPr>
        <w:t xml:space="preserve">”Agrarian Improvement and the 1930s Debate on the ‘Social Character’ of Rural China”</w:t>
      </w:r>
    </w:p>
    <w:p>
      <w:pPr>
        <w:spacing w:after="80"/>
        <w:jc w:val="left"/>
      </w:pPr>
      <w:r>
        <w:rPr>
          <w:rFonts w:ascii="Arial" w:cs="Arial" w:eastAsia="Arial" w:hAnsi="Arial"/>
          <w:b/>
          <w:bCs/>
          <w:i w:val="false"/>
          <w:iCs w:val="false"/>
          <w:color w:val="000000"/>
          <w:sz w:val="22"/>
          <w:szCs w:val="22"/>
        </w:rPr>
        <w:t xml:space="preserve">”农业改良与1930年代关于中国农村’社会性质’的争论”</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This paper begins with the debate surrounding Adam Smith’s notion of an ‘unnatural and retrograde order,’ which refers to the unbalanced development between agriculture and commerce in early modern Europe. In his polemical work Adam Smith in Beijing, Giovanni Arrighi presents a favourable interpretation of China’s ‘natural’ economic path, which prioritised agricultural improvement before the introduction of manufactures. However, Arrighi’s argument downplays Smith’s own critique of China’s social oppression and economic stagnation. I therefore turn to the debate over the ‘social character’ (shehui xingzhi, 社会性质) of Chinese society in the 1930s, when a group of Marxist political economists investigated the root causes of rural China’s impoverishment. The influence of this framework persisted into the 1980s, when agricultural reforms once again became an urgent issue in the context of post-Mao economic transition.</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本文从围绕亚当·斯密’非自然逆序’概念的辩论入手，该概念指的是近代早期欧洲农业与商业之间的不平衡发展。乔万尼·阿里吉在其论战性著作《亚当·斯密在北京》中对中国’自然’经济道路给出了有利解读。然而，阿里吉的论证淡化了斯密本人对中国社会压迫和经济停滞的批评。因此，我转向1930年代关于中国社会’社会性质’（shehui xingzhi）的辩论，当时一批马克思主义政治经济学家调查了中国农村贫困化的根本原因。这一框架的影响延续到1980年代，当时农业改革再次成为后毛泽东时代经济转型背景下的紧迫议题。</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Dr Huahui Zhu is Assistant Professor at the School of Public Affairs, Xiamen University. He holds a PhD in Politics from King’s College London (2023). Previously he was a TIAS Shuimu Scholar and Postdoctoral Fellow at Tsinghua University (2023–2025), supervised by Prof Cui Zhiyuan. His research interests include political theory, Adam Smith, Hayek, and theories of spontaneous order.</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朱华辉，厦门大学公共事务学院助理教授。2023年获伦敦国王学院政治学博士学位。此前为清华大学水木学者和博士后研究员（2023–2025），师从崔之元教授。研究方向包括政治理论、亚当·斯密、哈耶克和自发秩序理论。</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Wang Dongbin 王东宾" descr="Photo of Wang Dongbin 王东宾" title="Wang Dongbin 王东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Wang Dongbin 王东宾</w:t>
      </w:r>
    </w:p>
    <w:p>
      <w:pPr>
        <w:spacing w:after="80"/>
        <w:jc w:val="center"/>
      </w:pPr>
      <w:r>
        <w:rPr>
          <w:rFonts w:ascii="Arial" w:cs="Arial" w:eastAsia="Arial" w:hAnsi="Arial"/>
          <w:b w:val="false"/>
          <w:bCs w:val="false"/>
          <w:i/>
          <w:iCs/>
          <w:color w:val="444444"/>
          <w:sz w:val="20"/>
          <w:szCs w:val="20"/>
        </w:rPr>
        <w:t xml:space="preserve">China Institute, Fudan University / 复旦大学中国研究院</w:t>
      </w:r>
    </w:p>
    <w:p>
      <w:pPr>
        <w:spacing w:after="40"/>
        <w:jc w:val="left"/>
      </w:pPr>
      <w:r>
        <w:rPr>
          <w:rFonts w:ascii="Arial" w:cs="Arial" w:eastAsia="Arial" w:hAnsi="Arial"/>
          <w:b/>
          <w:bCs/>
          <w:i w:val="false"/>
          <w:iCs w:val="false"/>
          <w:color w:val="000000"/>
          <w:sz w:val="22"/>
          <w:szCs w:val="22"/>
        </w:rPr>
        <w:t xml:space="preserve">"Insights from China-Serbia Agricultural Cooperation: China's 'Vegetable Revolution' and Its Implications"</w:t>
      </w:r>
    </w:p>
    <w:p>
      <w:pPr>
        <w:spacing w:after="80"/>
        <w:jc w:val="left"/>
      </w:pPr>
      <w:r>
        <w:rPr>
          <w:rFonts w:ascii="Arial" w:cs="Arial" w:eastAsia="Arial" w:hAnsi="Arial"/>
          <w:b/>
          <w:bCs/>
          <w:i w:val="false"/>
          <w:iCs w:val="false"/>
          <w:color w:val="000000"/>
          <w:sz w:val="22"/>
          <w:szCs w:val="22"/>
        </w:rPr>
        <w:t xml:space="preserve">"中塞农业合作的启示：中国'蔬菜革命'及其意义"</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In July 2024, following the signing and implementation of the China-Serbia Free Trade Agreement (FTA), a delegation from Shandong Province took the lead in visiting Serbia in September 2024. The two sides have preliminarily established a trilateral cooperative framework linking 'Shandong-Vojvodina', 'Shandong Agricultural University-University of Novi Sad', and 'Shandong Shouguang City-Novi Sad City'—a 'G-G', 'U-U', 'B-B' cooperation network. The foundation of this architecture relies on the 'one-stop integrated export' model provided by Shouguang, Shandong—the birthplace of China's 'Vegetable Revolution.'</w:t>
      </w:r>
    </w:p>
    <w:p>
      <w:pPr>
        <w:spacing w:after="60"/>
        <w:jc w:val="both"/>
      </w:pPr>
      <w:r>
        <w:rPr>
          <w:rFonts w:ascii="Arial" w:cs="Arial" w:eastAsia="Arial" w:hAnsi="Arial"/>
          <w:b w:val="false"/>
          <w:bCs w:val="false"/>
          <w:i w:val="false"/>
          <w:iCs w:val="false"/>
          <w:color w:val="000000"/>
          <w:sz w:val="18"/>
          <w:szCs w:val="18"/>
        </w:rPr>
        <w:t xml:space="preserve">Shouguang's capability stems from two key factors: firstly, the 'Vegetable Basket' project implemented in 1988 under a mayoral responsibility system; and secondly, the 'solar greenhouse' pioneered by local farmers in 1989—the very origin of the 'Vegetable Revolution'. The former is a livelihood project that embodies people-centered economic and industrial philosophies, laying the policy groundwork for the revolution. The latter established an open-source technological route characterized by 'no patents, free technology sharing', paving the way for post-Fordist agricultural innovation and driving a genuine vegetable revolution. Collaboratively, the 'Vegetable Basket' Project and the 'Vegetable Revolution' have propelled the development of open-source practices and post-Fordism in Chinese agriculture, representing a distinctive 'China Experience' in the agricultural sector.</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2024年7月，中国和塞尔维亚自由贸易协定（FTA）签订实施后，山东省代表团于9月份就率先访问塞尔维亚。双方初步建立"山东-伏伊伏丁那"、"山东农业大学——诺维萨德大学"、"山东寿光——诺维萨德"的双边三层网络式合作架构。即，"政府-政府（G-G）"、"大学-大学（U-U）"、"商业-商业（B-B）"网络化合作架构。这种架构的基础合作即由中国"蔬菜革命"的发源地——山东寿光提供的"一站式集成输出"模式。</w:t>
      </w:r>
    </w:p>
    <w:p>
      <w:pPr>
        <w:spacing w:after="60"/>
        <w:jc w:val="both"/>
      </w:pPr>
      <w:r>
        <w:rPr>
          <w:rFonts w:ascii="Arial" w:cs="Arial" w:eastAsia="Arial" w:hAnsi="Arial"/>
          <w:b w:val="false"/>
          <w:bCs w:val="false"/>
          <w:i w:val="false"/>
          <w:iCs w:val="false"/>
          <w:color w:val="333333"/>
          <w:sz w:val="17"/>
          <w:szCs w:val="17"/>
        </w:rPr>
        <w:t xml:space="preserve">而寿光的这种能力得益于两点：一是1988年推行的市长负责制的"菜篮子"工程，二是1989年由农民创新推动的"日光温室大棚"——"蔬菜革命"的源头。前者是民生工程，是民生理念的经济与产业体现，为"蔬菜革命"提供了政策基础。后者形成了"不搞专利、免费传授"的开源开放技术路线，为农业后福特主义创新奠定基础，并推动形成真正的蔬菜革命。"菜篮子"与"蔬菜革命"，共同驱动了中国农业开源开放与后福特主义的发展，也是农业领域中国的模式的体现。</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Wang Dongbin is an Associate Research Fellow at the China Institute, Fudan University, and Director of the Digital Belt and Road Center (DBRC). His primary research interests include local finance, open source and openness, post-Fordist agriculture, and rural revitalization. Before joining Fudan University, he worked at local governments for several years, serving as Deputy Mayor of Shouguang City, Shandong Province.</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王东宾，复旦大学中国研究院副研究员、数字一带一路研究中心主任。他的研究集中于地方金融、开源开放、农业后福特主义、乡村振兴等。在加入复旦大学前，在地方政府工作多年，曾任山东寿光市副市长。</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80"/>
        <w:jc w:val="left"/>
      </w:pPr>
      <w:r>
        <w:rPr>
          <w:rFonts w:ascii="Arial" w:cs="Arial" w:eastAsia="Arial" w:hAnsi="Arial"/>
          <w:b w:val="false"/>
          <w:bCs w:val="false"/>
          <w:i w:val="false"/>
          <w:iCs w:val="false"/>
          <w:color w:val="000000"/>
          <w:sz w:val="20"/>
          <w:szCs w:val="20"/>
        </w:rPr>
        <w:t xml:space="preserve"/>
      </w:r>
    </w:p>
    <w:tbl>
      <w:tblPr>
        <w:tblW w:type="dxa" w:w="6591"/>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W w:type="dxa" w:w="6591"/>
            <w:tcBorders>
              <w:top w:val="none" w:sz="0"/>
              <w:left w:val="none" w:sz="0"/>
              <w:bottom w:val="none" w:sz="0"/>
              <w:right w:val="none" w:sz="0"/>
            </w:tcBorders>
            <w:shd w:fill="1A3C6E" w:color="auto" w:val="clear"/>
            <w:tcMar>
              <w:top w:type="dxa" w:w="40"/>
              <w:left w:type="dxa" w:w="60"/>
              <w:bottom w:type="dxa" w:w="40"/>
              <w:right w:type="dxa" w:w="60"/>
            </w:tcMar>
            <w:vAlign w:val="center"/>
          </w:tcPr>
          <w:p>
            <w:pPr>
              <w:spacing w:after="60"/>
              <w:jc w:val="center"/>
            </w:pPr>
            <w:r>
              <w:rPr>
                <w:rFonts w:ascii="Arial" w:cs="Arial" w:eastAsia="Arial" w:hAnsi="Arial"/>
                <w:b/>
                <w:bCs/>
                <w:i w:val="false"/>
                <w:iCs w:val="false"/>
                <w:color w:val="FFFFFF"/>
                <w:sz w:val="24"/>
                <w:szCs w:val="24"/>
              </w:rPr>
              <w:t xml:space="preserve">PANEL 4 — 专题研讨（四）</w:t>
            </w:r>
          </w:p>
        </w:tc>
      </w:tr>
    </w:tbl>
    <w:p>
      <w:pPr>
        <w:spacing w:after="200"/>
        <w:jc w:val="left"/>
      </w:pPr>
      <w:r>
        <w:rPr>
          <w:rFonts w:ascii="Arial" w:cs="Arial" w:eastAsia="Arial" w:hAnsi="Arial"/>
          <w:b w:val="false"/>
          <w:bCs w:val="false"/>
          <w:i w:val="false"/>
          <w:iCs w:val="false"/>
          <w:color w:val="000000"/>
          <w:sz w:val="20"/>
          <w:szCs w:val="20"/>
        </w:rPr>
        <w:t xml:space="preserve"/>
      </w:r>
    </w:p>
    <w:p>
      <w:pPr>
        <w:spacing w:after="100"/>
        <w:jc w:val="center"/>
      </w:pPr>
      <w:r>
        <w:drawing>
          <wp:inline distT="0" distB="0" distL="0" distR="0">
            <wp:extent cx="790575" cy="790575"/>
            <wp:effectExtent t="0" r="0" b="0" l="0"/>
            <wp:docPr id="1" name="Sanja Bojanić" descr="Photo of Sanja Bojanić" title="Sanja Bojan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Sanja Bojanić</w:t>
      </w:r>
    </w:p>
    <w:p>
      <w:pPr>
        <w:spacing w:after="80"/>
        <w:jc w:val="center"/>
      </w:pPr>
      <w:r>
        <w:rPr>
          <w:rFonts w:ascii="Arial" w:cs="Arial" w:eastAsia="Arial" w:hAnsi="Arial"/>
          <w:b w:val="false"/>
          <w:bCs w:val="false"/>
          <w:i/>
          <w:iCs/>
          <w:color w:val="444444"/>
          <w:sz w:val="20"/>
          <w:szCs w:val="20"/>
        </w:rPr>
        <w:t xml:space="preserve">University of Rijeka / CAS SEE / 里耶卡大学</w:t>
      </w:r>
    </w:p>
    <w:p>
      <w:pPr>
        <w:spacing w:after="40"/>
        <w:jc w:val="left"/>
      </w:pPr>
      <w:r>
        <w:rPr>
          <w:rFonts w:ascii="Arial" w:cs="Arial" w:eastAsia="Arial" w:hAnsi="Arial"/>
          <w:b/>
          <w:bCs/>
          <w:i w:val="false"/>
          <w:iCs w:val="false"/>
          <w:color w:val="000000"/>
          <w:sz w:val="22"/>
          <w:szCs w:val="22"/>
        </w:rPr>
        <w:t xml:space="preserve">”Between Techno-Neolibertarian Futurity and the Open Future”</w:t>
      </w:r>
    </w:p>
    <w:p>
      <w:pPr>
        <w:spacing w:after="80"/>
        <w:jc w:val="left"/>
      </w:pPr>
      <w:r>
        <w:rPr>
          <w:rFonts w:ascii="Arial" w:cs="Arial" w:eastAsia="Arial" w:hAnsi="Arial"/>
          <w:b/>
          <w:bCs/>
          <w:i w:val="false"/>
          <w:iCs w:val="false"/>
          <w:color w:val="000000"/>
          <w:sz w:val="22"/>
          <w:szCs w:val="22"/>
        </w:rPr>
        <w:t xml:space="preserve">”在技术新自由至上主义未来性与开放未来之间”</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Taking the conference theme ‘Socialist Governance: China, Socialism, and Human Future’ as its horizon, this presentation examines a conflict between two concepts of the future. The first is the techno-neolibertarian future: a future treated as programmable, predictable, and governable through data, risk management, surveillance, and private infrastructures of decision. The second is the open future, or Derrida’s à-venir: that which cannot be fully anticipated and therefore remains tied to responsibility, plurality, and the possibility of political beginning.</w:t>
      </w:r>
    </w:p>
    <w:p>
      <w:pPr>
        <w:spacing w:after="60"/>
        <w:jc w:val="both"/>
      </w:pPr>
      <w:r>
        <w:rPr>
          <w:rFonts w:ascii="Arial" w:cs="Arial" w:eastAsia="Arial" w:hAnsi="Arial"/>
          <w:b w:val="false"/>
          <w:bCs w:val="false"/>
          <w:i w:val="false"/>
          <w:iCs w:val="false"/>
          <w:color w:val="000000"/>
          <w:sz w:val="18"/>
          <w:szCs w:val="18"/>
        </w:rPr>
        <w:t xml:space="preserve">Drawing on Jacques Derrida, Hannah Arendt, Reinhart Koselleck, and a critical reading of René Girard, the paper argues that contemporary regimes of governance increasingly close the future by translating it into metrics, forecasts, and security scenarios. Against this closure, it asks whether socialism can be rethought not as teleology or historical necessity, but as an institutional and political commitment to keeping the common world open to what and who is still to come.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以会议主题’社会主义治理：中国、社会主义与人类未来’为视域，本报告考察了两种未来概念之间的冲突。第一种是技术新自由至上主义未来：一种被视为可编程、可预测、可通过数据治理的未来。第二种是开放未来，即德里达的à-venir：不能被完全预见的、因此仍与责任、多元性和政治开端的可能性相连的未来。</w:t>
      </w:r>
    </w:p>
    <w:p>
      <w:pPr>
        <w:spacing w:after="60"/>
        <w:jc w:val="both"/>
      </w:pPr>
      <w:r>
        <w:rPr>
          <w:rFonts w:ascii="Arial" w:cs="Arial" w:eastAsia="Arial" w:hAnsi="Arial"/>
          <w:b w:val="false"/>
          <w:bCs w:val="false"/>
          <w:i w:val="false"/>
          <w:iCs w:val="false"/>
          <w:color w:val="333333"/>
          <w:sz w:val="17"/>
          <w:szCs w:val="17"/>
        </w:rPr>
        <w:t xml:space="preserve">借助德里达、阿伦特、科泽勒克以及对勒内·吉拉尔的批判性解读，本文论证当代治理体制越来越多地通过将未来转化为指标、预测和安全方案来封闭未来。面对这种封闭，本文追问社会主义能否被重新思考——不是作为目的论或历史必然性，而是作为一种制度和政治承诺，以保持共同世界对尚未到来的事物和人保持开放。</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Srđan Đurović" descr="Photo of Srđan Đurović" title="Srđan Đur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Srđan Đurović</w:t>
      </w:r>
    </w:p>
    <w:p>
      <w:pPr>
        <w:spacing w:after="80"/>
        <w:jc w:val="center"/>
      </w:pPr>
      <w:r>
        <w:rPr>
          <w:rFonts w:ascii="Arial" w:cs="Arial" w:eastAsia="Arial" w:hAnsi="Arial"/>
          <w:b w:val="false"/>
          <w:bCs w:val="false"/>
          <w:i/>
          <w:iCs/>
          <w:color w:val="444444"/>
          <w:sz w:val="20"/>
          <w:szCs w:val="20"/>
        </w:rPr>
        <w:t xml:space="preserve">PhD candidate, Faculty of Political Sciences / IFDT Belgrade / 贝尔格莱德大学政治学系 / IFDT</w:t>
      </w:r>
    </w:p>
    <w:p>
      <w:pPr>
        <w:spacing w:after="40"/>
        <w:jc w:val="left"/>
      </w:pPr>
      <w:r>
        <w:rPr>
          <w:rFonts w:ascii="Arial" w:cs="Arial" w:eastAsia="Arial" w:hAnsi="Arial"/>
          <w:b/>
          <w:bCs/>
          <w:i w:val="false"/>
          <w:iCs w:val="false"/>
          <w:color w:val="000000"/>
          <w:sz w:val="22"/>
          <w:szCs w:val="22"/>
        </w:rPr>
        <w:t xml:space="preserve">”Toward a Socialist Capability Approach: Human Self-Transformation and the Normative Foundations of Socialism”</w:t>
      </w:r>
    </w:p>
    <w:p>
      <w:pPr>
        <w:spacing w:after="80"/>
        <w:jc w:val="left"/>
      </w:pPr>
      <w:r>
        <w:rPr>
          <w:rFonts w:ascii="Arial" w:cs="Arial" w:eastAsia="Arial" w:hAnsi="Arial"/>
          <w:b/>
          <w:bCs/>
          <w:i w:val="false"/>
          <w:iCs w:val="false"/>
          <w:color w:val="000000"/>
          <w:sz w:val="22"/>
          <w:szCs w:val="22"/>
        </w:rPr>
        <w:t xml:space="preserve">”走向社会主义能力方法：人的自我转变与社会主义的规范基础”</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Debates about whether Karl Marx possessed a theory of justice once occupied a central place in twentieth-century Marxist thought. This paper revisits that debate in order to propose an alternative yet Marxist perspective on the normative foundations of socialism. Rather than grounding socialism primarily in distributive justice, it explores the possibility of a socialist capability approach centered on the development of human capacities for self-transformation. Drawing on the Yugoslav Praxis Philosophy, particularly the work of philosopher Gajo Petrović and economist Branko Horvat, the paper argues that socialist emancipation can be understood not merely as the fair distribution of resources, but as the expansion of human creative and productive powers to transform social and historical conditions.</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关于马克思是否拥有正义理论的辩论曾在二十世纪马克思主义思想中占据核心地位。本文重新审视这一辩论，提出一种替代性但仍属马克思主义的社会主义规范基础视角。本文不以分配正义作为社会主义的首要基础，而是探索以人的自我转变能力发展为中心的社会主义能力方法的可能性。借鉴南斯拉夫实践哲学（Praxis Philosophy），特别是哲学家盖约·彼得洛维奇和经济学家布兰科·霍尔瓦特的工作，本文认为社会主义解放不仅仅是资源的公平分配，而是人的创造力和生产力的扩展，以改变社会和历史条件。</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Srđan Đurović is a PhD candidate at the Faculty of Political Sciences of the University of Belgrade. He works at the Institute for Philosophy and Social Theory as a research associate and program development manager. He trained professionally at several specialist programs, including the John F. Kennedy School of Government, Harvard University. His area of academic interest is normative political theory, social justice and emancipatory social theory in the context of global development mega-trends.</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Srđan Đurović是贝尔格莱德大学政治学系博士候选人。他在哲学与社会理论研究所担任研究助理和项目发展经理。曾在多个专业项目中接受培训，包括哈佛大学肯尼迪政府学院。研究方向为规范政治理论、社会正义和全球发展趋势下的解放社会理论。</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Milan Urošević" descr="Photo of Milan Urošević" title="Milan Uroše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Milan Urošević</w:t>
      </w:r>
    </w:p>
    <w:p>
      <w:pPr>
        <w:spacing w:after="80"/>
        <w:jc w:val="center"/>
      </w:pPr>
      <w:r>
        <w:rPr>
          <w:rFonts w:ascii="Arial" w:cs="Arial" w:eastAsia="Arial" w:hAnsi="Arial"/>
          <w:b w:val="false"/>
          <w:bCs w:val="false"/>
          <w:i/>
          <w:iCs/>
          <w:color w:val="444444"/>
          <w:sz w:val="20"/>
          <w:szCs w:val="20"/>
        </w:rPr>
        <w:t xml:space="preserve">IFDT Belgrade / 贝尔格莱德大学哲学与社会理论研究所</w:t>
      </w:r>
    </w:p>
    <w:p>
      <w:pPr>
        <w:spacing w:after="40"/>
        <w:jc w:val="left"/>
      </w:pPr>
      <w:r>
        <w:rPr>
          <w:rFonts w:ascii="Arial" w:cs="Arial" w:eastAsia="Arial" w:hAnsi="Arial"/>
          <w:b/>
          <w:bCs/>
          <w:i w:val="false"/>
          <w:iCs w:val="false"/>
          <w:color w:val="000000"/>
          <w:sz w:val="22"/>
          <w:szCs w:val="22"/>
        </w:rPr>
        <w:t xml:space="preserve">”Subsumption of Subjectivity and Domination in Contemporary Capitalism”</w:t>
      </w:r>
    </w:p>
    <w:p>
      <w:pPr>
        <w:spacing w:after="80"/>
        <w:jc w:val="left"/>
      </w:pPr>
      <w:r>
        <w:rPr>
          <w:rFonts w:ascii="Arial" w:cs="Arial" w:eastAsia="Arial" w:hAnsi="Arial"/>
          <w:b/>
          <w:bCs/>
          <w:i w:val="false"/>
          <w:iCs w:val="false"/>
          <w:color w:val="000000"/>
          <w:sz w:val="22"/>
          <w:szCs w:val="22"/>
        </w:rPr>
        <w:t xml:space="preserve">”当代资本主义中主体性的涵摄与统治”</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Domination became a problem central to Marxist theory in the early twentieth century, when Gramsci introduced the concept of ‘hegemony’ to explain how the working-class consents to participating in the capitalist social order. Later, thinkers of the Frankfurt School and Louis Althusser expanded this issue by analyzing how individuals internalize norms that regulate their behavior in ways aligned with the reproduction of capitalist relations of production.</w:t>
      </w:r>
    </w:p>
    <w:p>
      <w:pPr>
        <w:spacing w:after="60"/>
        <w:jc w:val="both"/>
      </w:pPr>
      <w:r>
        <w:rPr>
          <w:rFonts w:ascii="Arial" w:cs="Arial" w:eastAsia="Arial" w:hAnsi="Arial"/>
          <w:b w:val="false"/>
          <w:bCs w:val="false"/>
          <w:i w:val="false"/>
          <w:iCs w:val="false"/>
          <w:color w:val="000000"/>
          <w:sz w:val="18"/>
          <w:szCs w:val="18"/>
        </w:rPr>
        <w:t xml:space="preserve">By the late twentieth and early twenty-first centuries, with the rise of the post-Fordist mode of regulation and the digital economy, subjectivity acquired a new role. Rather than being merely shaped by superstructural forces, it became directly integrated into the process of production. As a result, contemporary capitalism can be understood as subsuming subjectivity, transforming it into a direct force of production governed by the logic of capital.</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统治成为马克思主义理论核心问题始于二十世纪早期，当时葛兰西引入’霸权’概念来解释工人阶级何以同意参与资本主义社会秩序。后来，法兰克福学派思想家和阿尔都塞扩展了这一问题，分析了个体如何内化那些以与资本主义生产关系再生产相一致的方式调节其行为的规范。</w:t>
      </w:r>
    </w:p>
    <w:p>
      <w:pPr>
        <w:spacing w:after="60"/>
        <w:jc w:val="both"/>
      </w:pPr>
      <w:r>
        <w:rPr>
          <w:rFonts w:ascii="Arial" w:cs="Arial" w:eastAsia="Arial" w:hAnsi="Arial"/>
          <w:b w:val="false"/>
          <w:bCs w:val="false"/>
          <w:i w:val="false"/>
          <w:iCs w:val="false"/>
          <w:color w:val="333333"/>
          <w:sz w:val="17"/>
          <w:szCs w:val="17"/>
        </w:rPr>
        <w:t xml:space="preserve">到二十世纪末和二十一世纪初，随着后福特主义调节模式和数字经济的兴起，主体性获得了新的角色。主体性不再仅仅被上层建筑力量所塑造，而是被直接整合进生产过程。因此，当代资本主义可被理解为涵摄了主体性，将其转化为受资本逻辑支配的直接生产力。</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Song Yifan 宋一帆" descr="Photo of Song Yifan 宋一帆" title="Song Yifan 宋一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Song Yifan 宋一帆</w:t>
      </w:r>
    </w:p>
    <w:p>
      <w:pPr>
        <w:spacing w:after="80"/>
        <w:jc w:val="center"/>
      </w:pPr>
      <w:r>
        <w:rPr>
          <w:rFonts w:ascii="Arial" w:cs="Arial" w:eastAsia="Arial" w:hAnsi="Arial"/>
          <w:b w:val="false"/>
          <w:bCs w:val="false"/>
          <w:i/>
          <w:iCs/>
          <w:color w:val="444444"/>
          <w:sz w:val="20"/>
          <w:szCs w:val="20"/>
        </w:rPr>
        <w:t xml:space="preserve">Assistant Professor, Fudan University / 复旦大学哲学学院助理教授</w:t>
      </w:r>
    </w:p>
    <w:p>
      <w:pPr>
        <w:spacing w:after="40"/>
        <w:jc w:val="left"/>
      </w:pPr>
      <w:r>
        <w:rPr>
          <w:rFonts w:ascii="Arial" w:cs="Arial" w:eastAsia="Arial" w:hAnsi="Arial"/>
          <w:b/>
          <w:bCs/>
          <w:i w:val="false"/>
          <w:iCs w:val="false"/>
          <w:color w:val="000000"/>
          <w:sz w:val="22"/>
          <w:szCs w:val="22"/>
        </w:rPr>
        <w:t xml:space="preserve">”A Social Ontological Reconstruction of the idea of ‘living institution’”</w:t>
      </w:r>
    </w:p>
    <w:p>
      <w:pPr>
        <w:spacing w:after="80"/>
        <w:jc w:val="left"/>
      </w:pPr>
      <w:r>
        <w:rPr>
          <w:rFonts w:ascii="Arial" w:cs="Arial" w:eastAsia="Arial" w:hAnsi="Arial"/>
          <w:b/>
          <w:bCs/>
          <w:i w:val="false"/>
          <w:iCs w:val="false"/>
          <w:color w:val="000000"/>
          <w:sz w:val="22"/>
          <w:szCs w:val="22"/>
        </w:rPr>
        <w:t xml:space="preserve">”’活的制度’观念的社会本体论重构”</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Beginning with the Durkheimian school, the field of sociology has turned its attention to the idea of a ‘living institution’ and, more broadly, to the relationship between life and institutions. To elaborate this idea, this study attempts to delineate three moments of the ‘living institution’: (1) Spinoza’s argument that the best commonwealth must aim at hope and cultivate life, which means that a living institution entails an experience of empowerment; (2) Marx and Engels’s conception of the synchronicity between the history of the commune and the present—this anachronism and the overlapping of plural temporalities can enhance collective actions and unleash society’s emancipatory potential; and (3) Adorno and Gehlen’s exploration of the relationship between institution and freedom. An institution must not merely sustain itself or maintain functional stability, but also live up to its own ideas of freedom and life.</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从涂尔干学派开始，社会学领域就开始关注’活的制度’观念，以及更广泛的生命与制度之间的关系。为阐述这一观念，本研究试图勾勒’活的制度’的三个时刻：（1）斯宾诺莎的论证——最好的共同体必须以希望为目标并培育生命，意味着活的制度蕴含一种赋权经验；（2）马克思和恩格斯关于公社历史与当下同步性的构想——这种时代错位和多元时间性的叠加可以增强集体行动并释放社会的解放潜力；（3）阿多诺和格伦对制度与自由关系的探讨——制度不能仅仅维持自身或保持功能稳定性，还必须实现其自身的自由和生命理念。</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Assistant Professor, School of Philosophy, Fudan University, Shanghai</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复旦大学哲学学院助理教授</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Cai Qiaoyu 蔡翘宇" descr="Photo of Cai Qiaoyu 蔡翘宇" title="Cai Qiaoyu 蔡翘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Cai Qiaoyu 蔡翘宇</w:t>
      </w:r>
    </w:p>
    <w:p>
      <w:pPr>
        <w:spacing w:after="80"/>
        <w:jc w:val="center"/>
      </w:pPr>
      <w:r>
        <w:rPr>
          <w:rFonts w:ascii="Arial" w:cs="Arial" w:eastAsia="Arial" w:hAnsi="Arial"/>
          <w:b w:val="false"/>
          <w:bCs w:val="false"/>
          <w:i/>
          <w:iCs/>
          <w:color w:val="444444"/>
          <w:sz w:val="20"/>
          <w:szCs w:val="20"/>
        </w:rPr>
        <w:t xml:space="preserve">Tsinghua University Postdoc / 清华大学博士后</w:t>
      </w:r>
    </w:p>
    <w:p>
      <w:pPr>
        <w:spacing w:after="40"/>
        <w:jc w:val="left"/>
      </w:pPr>
      <w:r>
        <w:rPr>
          <w:rFonts w:ascii="Arial" w:cs="Arial" w:eastAsia="Arial" w:hAnsi="Arial"/>
          <w:b/>
          <w:bCs/>
          <w:i w:val="false"/>
          <w:iCs w:val="false"/>
          <w:color w:val="000000"/>
          <w:sz w:val="22"/>
          <w:szCs w:val="22"/>
        </w:rPr>
        <w:t xml:space="preserve">”Digital Humanities and the Condition of Global Modernity”</w:t>
      </w:r>
    </w:p>
    <w:p>
      <w:pPr>
        <w:spacing w:after="80"/>
        <w:jc w:val="left"/>
      </w:pPr>
      <w:r>
        <w:rPr>
          <w:rFonts w:ascii="Arial" w:cs="Arial" w:eastAsia="Arial" w:hAnsi="Arial"/>
          <w:b/>
          <w:bCs/>
          <w:i w:val="false"/>
          <w:iCs w:val="false"/>
          <w:color w:val="000000"/>
          <w:sz w:val="22"/>
          <w:szCs w:val="22"/>
        </w:rPr>
        <w:t xml:space="preserve">”数字人文与全球现代性的条件：中国数字人文与中国后社会主义的文化逻辑”</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This presentation examines the field of digital humanities studies in China as a critical lens for analyzing the distinctive cultural-political logic of Chinese postsocialism. Beginning with a historical overview, it situates the belated development of Chinese digital humanities within the broader context of China’s evolving notion of wenke (humanities subjects) and its complex relationship to Western liberal arts traditions. By placing the digital humanities within the broader institutional framework of national educational systems, the essay argues that national contexts and political economies fundamentally mediate epistemic frameworks in scholarly practices.</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本报告以中国数字人文研究领域为批判性视角，分析中国后社会主义独特的文化政治逻辑。从历史概述开始，将中国数字人文的迟缓发展置于中国不断演变的文科（wenke）概念及其与西方博雅教育传统的复杂关系的更广泛背景中。通过将数字人文放置在国家教育体系的更广泛制度框架中，本文认为国家背景和政治经济从根本上中介了学术实践中的认知框架。</w:t>
      </w:r>
    </w:p>
    <w:p>
      <w:pPr>
        <w:spacing w:after="20"/>
        <w:jc w:val="left"/>
      </w:pPr>
      <w:r>
        <w:rPr>
          <w:rFonts w:ascii="Arial" w:cs="Arial" w:eastAsia="Arial" w:hAnsi="Arial"/>
          <w:b w:val="false"/>
          <w:bCs w:val="false"/>
          <w:i w:val="false"/>
          <w:iCs w:val="false"/>
          <w:color w:val="000000"/>
          <w:sz w:val="20"/>
          <w:szCs w:val="20"/>
        </w:rPr>
        <w:t xml:space="preserve"/>
      </w:r>
    </w:p>
    <w:p>
      <w:pPr>
        <w:spacing w:after="40"/>
        <w:jc w:val="both"/>
      </w:pPr>
      <w:r>
        <w:rPr>
          <w:rFonts w:ascii="Arial" w:cs="Arial" w:eastAsia="Arial" w:hAnsi="Arial"/>
          <w:b/>
          <w:bCs/>
          <w:i w:val="false"/>
          <w:iCs w:val="false"/>
          <w:color w:val="1A3C6E"/>
          <w:sz w:val="18"/>
          <w:szCs w:val="18"/>
        </w:rPr>
        <w:t xml:space="preserve">Bio: </w:t>
      </w:r>
      <w:r>
        <w:rPr>
          <w:rFonts w:ascii="Arial" w:cs="Arial" w:eastAsia="Arial" w:hAnsi="Arial"/>
          <w:b w:val="false"/>
          <w:bCs w:val="false"/>
          <w:i/>
          <w:iCs/>
          <w:color w:val="333333"/>
          <w:sz w:val="17"/>
          <w:szCs w:val="17"/>
        </w:rPr>
        <w:t xml:space="preserve">Qiaoyu Cai is a TIAS Society of Fellow postdoctoral scholar at Tsinghua University. He works at the intersection of media theory, science and technology studies, literary criticism, and the digital humanities. His current research examines the interconnected themes of modernity, sovereignty, and technology in the contemporary era of planetary-scale computation. His writing has appeared in Theory, Culture &amp; Society, Cultural Critique, AI &amp; Society, Prism, among other venues.</w:t>
      </w:r>
    </w:p>
    <w:p>
      <w:pPr>
        <w:spacing w:after="80"/>
        <w:jc w:val="both"/>
      </w:pPr>
      <w:r>
        <w:rPr>
          <w:rFonts w:ascii="Arial" w:cs="Arial" w:eastAsia="Arial" w:hAnsi="Arial"/>
          <w:b/>
          <w:bCs/>
          <w:i w:val="false"/>
          <w:iCs w:val="false"/>
          <w:color w:val="1A3C6E"/>
          <w:sz w:val="18"/>
          <w:szCs w:val="18"/>
        </w:rPr>
        <w:t xml:space="preserve">简介：</w:t>
      </w:r>
      <w:r>
        <w:rPr>
          <w:rFonts w:ascii="Arial" w:cs="Arial" w:eastAsia="Arial" w:hAnsi="Arial"/>
          <w:b w:val="false"/>
          <w:bCs w:val="false"/>
          <w:i/>
          <w:iCs/>
          <w:color w:val="333333"/>
          <w:sz w:val="17"/>
          <w:szCs w:val="17"/>
        </w:rPr>
        <w:t xml:space="preserve">蔡翘宇，清华大学TIAS学者联谊会博士后。研究领域涵盖媒介理论、科学技术研究、文学批评和数字人文。当前研究关注行星尺度计算时代现代性、主权与技术的交叉主题。其著作发表于Theory, Culture &amp; Society、Cultural Critique、AI &amp; Society、Prism等期刊。</w:t>
      </w:r>
    </w:p>
    <w:p>
      <w:pPr>
        <w:spacing w:after="120"/>
        <w:jc w:val="left"/>
      </w:pPr>
      <w:r>
        <w:rPr>
          <w:rFonts w:ascii="Arial" w:cs="Arial" w:eastAsia="Arial" w:hAnsi="Arial"/>
          <w:b w:val="false"/>
          <w:bCs w:val="false"/>
          <w:i w:val="false"/>
          <w:iCs w:val="false"/>
          <w:color w:val="000000"/>
          <w:sz w:val="20"/>
          <w:szCs w:val="20"/>
        </w:rPr>
        <w:t xml:space="preserve"/>
      </w:r>
    </w:p>
    <w:p>
      <w:r>
        <w:br w:type="page"/>
      </w:r>
    </w:p>
    <w:p>
      <w:pPr>
        <w:spacing w:after="100"/>
        <w:jc w:val="center"/>
      </w:pPr>
      <w:r>
        <w:drawing>
          <wp:inline distT="0" distB="0" distL="0" distR="0">
            <wp:extent cx="790575" cy="790575"/>
            <wp:effectExtent t="0" r="0" b="0" l="0"/>
            <wp:docPr id="1" name="Rasmus Sandnes Haukedal" descr="Photo of Rasmus Sandnes Haukedal" title="Rasmus Sandnes Hauke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790575" cy="790575"/>
                    </a:xfrm>
                    <a:prstGeom prst="rect">
                      <a:avLst/>
                    </a:prstGeom>
                  </pic:spPr>
                </pic:pic>
              </a:graphicData>
            </a:graphic>
          </wp:inline>
        </w:drawing>
      </w:r>
    </w:p>
    <w:p>
      <w:pPr>
        <w:spacing w:after="40"/>
        <w:jc w:val="center"/>
      </w:pPr>
      <w:r>
        <w:rPr>
          <w:rFonts w:ascii="Arial" w:cs="Arial" w:eastAsia="Arial" w:hAnsi="Arial"/>
          <w:b/>
          <w:bCs/>
          <w:i w:val="false"/>
          <w:iCs w:val="false"/>
          <w:color w:val="1A3C6E"/>
          <w:sz w:val="26"/>
          <w:szCs w:val="26"/>
        </w:rPr>
        <w:t xml:space="preserve">Rasmus Sandnes Haukedal</w:t>
      </w:r>
    </w:p>
    <w:p>
      <w:pPr>
        <w:spacing w:after="80"/>
        <w:jc w:val="center"/>
      </w:pPr>
      <w:r>
        <w:rPr>
          <w:rFonts w:ascii="Arial" w:cs="Arial" w:eastAsia="Arial" w:hAnsi="Arial"/>
          <w:b w:val="false"/>
          <w:bCs w:val="false"/>
          <w:i/>
          <w:iCs/>
          <w:color w:val="444444"/>
          <w:sz w:val="20"/>
          <w:szCs w:val="20"/>
        </w:rPr>
        <w:t xml:space="preserve">Durham University, Shanghai-based / 杜伦大学</w:t>
      </w:r>
    </w:p>
    <w:p>
      <w:pPr>
        <w:spacing w:after="40"/>
        <w:jc w:val="left"/>
      </w:pPr>
      <w:r>
        <w:rPr>
          <w:rFonts w:ascii="Arial" w:cs="Arial" w:eastAsia="Arial" w:hAnsi="Arial"/>
          <w:b/>
          <w:bCs/>
          <w:i w:val="false"/>
          <w:iCs w:val="false"/>
          <w:color w:val="000000"/>
          <w:sz w:val="22"/>
          <w:szCs w:val="22"/>
        </w:rPr>
        <w:t xml:space="preserve">”The Causality of the Anthropocene: Scientific Socialism and Ecological Civilisation”</w:t>
      </w:r>
    </w:p>
    <w:p>
      <w:pPr>
        <w:spacing w:after="80"/>
        <w:jc w:val="left"/>
      </w:pPr>
      <w:r>
        <w:rPr>
          <w:rFonts w:ascii="Arial" w:cs="Arial" w:eastAsia="Arial" w:hAnsi="Arial"/>
          <w:b/>
          <w:bCs/>
          <w:i w:val="false"/>
          <w:iCs w:val="false"/>
          <w:color w:val="000000"/>
          <w:sz w:val="22"/>
          <w:szCs w:val="22"/>
        </w:rPr>
        <w:t xml:space="preserve">”人类世的因果性：科学社会主义与生态文明”</w:t>
      </w:r>
    </w:p>
    <w:p>
      <w:pPr>
        <w:spacing w:after="40"/>
        <w:jc w:val="left"/>
      </w:pPr>
      <w:r>
        <w:rPr>
          <w:rFonts w:ascii="Arial" w:cs="Arial" w:eastAsia="Arial" w:hAnsi="Arial"/>
          <w:b/>
          <w:bCs/>
          <w:i w:val="false"/>
          <w:iCs w:val="false"/>
          <w:color w:val="1A3C6E"/>
          <w:sz w:val="18"/>
          <w:szCs w:val="18"/>
        </w:rPr>
        <w:t xml:space="preserve">Abstract:</w:t>
      </w:r>
    </w:p>
    <w:p>
      <w:pPr>
        <w:spacing w:after="60"/>
        <w:jc w:val="both"/>
      </w:pPr>
      <w:r>
        <w:rPr>
          <w:rFonts w:ascii="Arial" w:cs="Arial" w:eastAsia="Arial" w:hAnsi="Arial"/>
          <w:b w:val="false"/>
          <w:bCs w:val="false"/>
          <w:i w:val="false"/>
          <w:iCs w:val="false"/>
          <w:color w:val="000000"/>
          <w:sz w:val="18"/>
          <w:szCs w:val="18"/>
        </w:rPr>
        <w:t xml:space="preserve">The Anthropocene represents a critical planetary threshold in which human activity has become the dominant driver of nonlinear, irreversible changes to Earth systems — including geological processes. This paper argues that the prevailing mechanistic worldview — which considers nature an inert background, something separate from society that we may dominate — reduces ecological crises to linear cause-effect chains. Hence, it misrepresents the dialectical complexity of socio-natural relations.</w:t>
      </w:r>
    </w:p>
    <w:p>
      <w:pPr>
        <w:spacing w:after="60"/>
        <w:jc w:val="both"/>
      </w:pPr>
      <w:r>
        <w:rPr>
          <w:rFonts w:ascii="Arial" w:cs="Arial" w:eastAsia="Arial" w:hAnsi="Arial"/>
          <w:b w:val="false"/>
          <w:bCs w:val="false"/>
          <w:i w:val="false"/>
          <w:iCs w:val="false"/>
          <w:color w:val="000000"/>
          <w:sz w:val="18"/>
          <w:szCs w:val="18"/>
        </w:rPr>
        <w:t xml:space="preserve">Drawing upon Marx’s concept of metabolism (Stoffwechsel) and contemporary developments in theoretical biology, I present the organisational understanding of causality that reveals the Anthropocene as a systemic breakdown of enablement relations under capitalism. China’s ecological modernisation — from ‘red line’ policies to regenerative agriculture — suggests how this dialectical causality may inform practical solutions. The paper concludes by outlining how this dialectical framework points toward a new paradigm of scientific socialism.</w:t>
      </w:r>
    </w:p>
    <w:p>
      <w:pPr>
        <w:spacing w:after="40"/>
        <w:jc w:val="left"/>
      </w:pPr>
      <w:r>
        <w:rPr>
          <w:rFonts w:ascii="Arial" w:cs="Arial" w:eastAsia="Arial" w:hAnsi="Arial"/>
          <w:b/>
          <w:bCs/>
          <w:i w:val="false"/>
          <w:iCs w:val="false"/>
          <w:color w:val="1A3C6E"/>
          <w:sz w:val="18"/>
          <w:szCs w:val="18"/>
        </w:rPr>
        <w:t xml:space="preserve">摘要：</w:t>
      </w:r>
    </w:p>
    <w:p>
      <w:pPr>
        <w:spacing w:after="60"/>
        <w:jc w:val="both"/>
      </w:pPr>
      <w:r>
        <w:rPr>
          <w:rFonts w:ascii="Arial" w:cs="Arial" w:eastAsia="Arial" w:hAnsi="Arial"/>
          <w:b w:val="false"/>
          <w:bCs w:val="false"/>
          <w:i w:val="false"/>
          <w:iCs w:val="false"/>
          <w:color w:val="333333"/>
          <w:sz w:val="17"/>
          <w:szCs w:val="17"/>
        </w:rPr>
        <w:t xml:space="preserve">人类世代表了一个关键的行星阈值，人类活动已成为地球系统非线性、不可逆变化的主要驱动力。本文认为，占主导地位的机械论世界观——将自然视为惰性的背景、与社会分离且可被支配的对象——将生态危机简化为线性因果链，从而曲解了社会-自然关系的辩证复杂性。</w:t>
      </w:r>
    </w:p>
    <w:p>
      <w:pPr>
        <w:spacing w:after="60"/>
        <w:jc w:val="both"/>
      </w:pPr>
      <w:r>
        <w:rPr>
          <w:rFonts w:ascii="Arial" w:cs="Arial" w:eastAsia="Arial" w:hAnsi="Arial"/>
          <w:b w:val="false"/>
          <w:bCs w:val="false"/>
          <w:i w:val="false"/>
          <w:iCs w:val="false"/>
          <w:color w:val="333333"/>
          <w:sz w:val="17"/>
          <w:szCs w:val="17"/>
        </w:rPr>
        <w:t xml:space="preserve">借助马克思的新陈代谢（Stoffwechsel）概念和理论生物学的当代发展，我提出了一种组织性因果关系理解，揭示人类世是资本主义下赋能关系的系统性崩溃。中国的生态现代化——从’红线’政策到再生农业——表明这种辩证因果关系如何为实际解决方案提供启示。本文最后概述这一辩证框架如何指向科学社会主义的新范式。</w:t>
      </w:r>
    </w:p>
    <w:p>
      <w:pPr>
        <w:spacing w:after="120"/>
        <w:jc w:val="left"/>
      </w:pPr>
      <w:r>
        <w:rPr>
          <w:rFonts w:ascii="Arial" w:cs="Arial" w:eastAsia="Arial" w:hAnsi="Arial"/>
          <w:b w:val="false"/>
          <w:bCs w:val="false"/>
          <w:i w:val="false"/>
          <w:iCs w:val="false"/>
          <w:color w:val="000000"/>
          <w:sz w:val="20"/>
          <w:szCs w:val="20"/>
        </w:rPr>
        <w:t xml:space="preserve"/>
      </w:r>
    </w:p>
    <w:sectPr>
      <w:headerReference w:type="default" r:id="rId11"/>
      <w:footerReference w:type="default" r:id="rId12"/>
      <w:pgSz w:w="8391" w:h="11906" w:orient="portrait"/>
      <w:pgMar w:top="1000" w:right="900" w:bottom="10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hd w:fill="CC2222" w:color="auto" w:val="clear"/>
      <w:spacing w:after="0" w:before="0"/>
    </w:pPr>
    <w:r>
      <w:rPr>
        <w:rFonts w:ascii="Arial" w:cs="Arial" w:eastAsia="Arial" w:hAnsi="Arial"/>
        <w:b w:val="false"/>
        <w:bCs w:val="false"/>
        <w:i w:val="false"/>
        <w:iCs w:val="false"/>
        <w:color w:val="CC2222"/>
        <w:sz w:val="3"/>
        <w:szCs w:val="3"/>
      </w:rPr>
      <w:t xml:space="preserve"> </w:t>
    </w:r>
  </w:p>
  <w:p>
    <w:pPr>
      <w:shd w:fill="1A3C6E" w:color="auto" w:val="clear"/>
      <w:spacing w:after="0" w:before="0"/>
    </w:pPr>
    <w:r>
      <w:rPr>
        <w:rFonts w:ascii="Arial" w:cs="Arial" w:eastAsia="Arial" w:hAnsi="Arial"/>
        <w:b w:val="false"/>
        <w:bCs w:val="false"/>
        <w:i w:val="false"/>
        <w:iCs w:val="false"/>
        <w:color w:val="1A3C6E"/>
        <w:sz w:val="6"/>
        <w:szCs w:val="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hd w:fill="CC2222" w:color="auto" w:val="clear"/>
      <w:spacing w:after="0" w:before="0"/>
    </w:pPr>
    <w:r>
      <w:rPr>
        <w:rFonts w:ascii="Arial" w:cs="Arial" w:eastAsia="Arial" w:hAnsi="Arial"/>
        <w:b w:val="false"/>
        <w:bCs w:val="false"/>
        <w:i w:val="false"/>
        <w:iCs w:val="false"/>
        <w:color w:val="CC2222"/>
        <w:sz w:val="3"/>
        <w:szCs w:val="3"/>
      </w:rPr>
      <w:t xml:space="preserve"> </w:t>
    </w:r>
  </w:p>
  <w:p>
    <w:pPr>
      <w:shd w:fill="1A3C6E" w:color="auto" w:val="clear"/>
      <w:spacing w:after="0" w:before="0"/>
    </w:pPr>
    <w:r>
      <w:rPr>
        <w:rFonts w:ascii="Arial" w:cs="Arial" w:eastAsia="Arial" w:hAnsi="Arial"/>
        <w:b w:val="false"/>
        <w:bCs w:val="false"/>
        <w:i w:val="false"/>
        <w:iCs w:val="false"/>
        <w:color w:val="1A3C6E"/>
        <w:sz w:val="6"/>
        <w:szCs w:val="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hd w:fill="CC2222" w:color="auto" w:val="clear"/>
      <w:spacing w:after="0" w:before="0"/>
    </w:pPr>
    <w:r>
      <w:rPr>
        <w:rFonts w:ascii="Arial" w:cs="Arial" w:eastAsia="Arial" w:hAnsi="Arial"/>
        <w:b w:val="false"/>
        <w:bCs w:val="false"/>
        <w:i w:val="false"/>
        <w:iCs w:val="false"/>
        <w:color w:val="CC2222"/>
        <w:sz w:val="3"/>
        <w:szCs w:val="3"/>
      </w:rPr>
      <w:t xml:space="preserve"> </w:t>
    </w:r>
  </w:p>
  <w:p>
    <w:pPr>
      <w:shd w:fill="1A3C6E" w:color="auto" w:val="clear"/>
      <w:spacing w:after="0" w:before="0"/>
    </w:pPr>
    <w:r>
      <w:rPr>
        <w:rFonts w:ascii="Arial" w:cs="Arial" w:eastAsia="Arial" w:hAnsi="Arial"/>
        <w:b w:val="false"/>
        <w:bCs w:val="false"/>
        <w:i w:val="false"/>
        <w:iCs w:val="false"/>
        <w:color w:val="1A3C6E"/>
        <w:sz w:val="6"/>
        <w:szCs w:val="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1A3C6E" w:color="auto" w:val="clear"/>
      <w:spacing w:after="0" w:before="0"/>
    </w:pPr>
    <w:r>
      <w:rPr>
        <w:rFonts w:ascii="Arial" w:cs="Arial" w:eastAsia="Arial" w:hAnsi="Arial"/>
        <w:b w:val="false"/>
        <w:bCs w:val="false"/>
        <w:i w:val="false"/>
        <w:iCs w:val="false"/>
        <w:color w:val="1A3C6E"/>
        <w:sz w:val="4"/>
        <w:szCs w:val="4"/>
      </w:rPr>
      <w:t xml:space="preserve"> </w:t>
    </w:r>
  </w:p>
  <w:p>
    <w:pPr>
      <w:shd w:fill="CC2222" w:color="auto" w:val="clear"/>
      <w:spacing w:after="0" w:before="0"/>
    </w:pPr>
    <w:r>
      <w:rPr>
        <w:rFonts w:ascii="Arial" w:cs="Arial" w:eastAsia="Arial" w:hAnsi="Arial"/>
        <w:b w:val="false"/>
        <w:bCs w:val="false"/>
        <w:i w:val="false"/>
        <w:iCs w:val="false"/>
        <w:color w:val="CC2222"/>
        <w:sz w:val="3"/>
        <w:szCs w:val="3"/>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1A3C6E" w:color="auto" w:val="clear"/>
      <w:spacing w:after="0" w:before="0"/>
    </w:pPr>
    <w:r>
      <w:rPr>
        <w:rFonts w:ascii="Arial" w:cs="Arial" w:eastAsia="Arial" w:hAnsi="Arial"/>
        <w:b w:val="false"/>
        <w:bCs w:val="false"/>
        <w:i w:val="false"/>
        <w:iCs w:val="false"/>
        <w:color w:val="1A3C6E"/>
        <w:sz w:val="4"/>
        <w:szCs w:val="4"/>
      </w:rPr>
      <w:t xml:space="preserve"> </w:t>
    </w:r>
  </w:p>
  <w:p>
    <w:pPr>
      <w:shd w:fill="CC2222" w:color="auto" w:val="clear"/>
      <w:spacing w:after="0" w:before="0"/>
    </w:pPr>
    <w:r>
      <w:rPr>
        <w:rFonts w:ascii="Arial" w:cs="Arial" w:eastAsia="Arial" w:hAnsi="Arial"/>
        <w:b w:val="false"/>
        <w:bCs w:val="false"/>
        <w:i w:val="false"/>
        <w:iCs w:val="false"/>
        <w:color w:val="CC2222"/>
        <w:sz w:val="3"/>
        <w:szCs w:val="3"/>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1A3C6E" w:color="auto" w:val="clear"/>
      <w:spacing w:after="0" w:before="0"/>
    </w:pPr>
    <w:r>
      <w:rPr>
        <w:rFonts w:ascii="Arial" w:cs="Arial" w:eastAsia="Arial" w:hAnsi="Arial"/>
        <w:b w:val="false"/>
        <w:bCs w:val="false"/>
        <w:i w:val="false"/>
        <w:iCs w:val="false"/>
        <w:color w:val="1A3C6E"/>
        <w:sz w:val="4"/>
        <w:szCs w:val="4"/>
      </w:rPr>
      <w:t xml:space="preserve"> </w:t>
    </w:r>
  </w:p>
  <w:p>
    <w:pPr>
      <w:shd w:fill="CC2222" w:color="auto" w:val="clear"/>
      <w:spacing w:after="0" w:before="0"/>
    </w:pPr>
    <w:r>
      <w:rPr>
        <w:rFonts w:ascii="Arial" w:cs="Arial" w:eastAsia="Arial" w:hAnsi="Arial"/>
        <w:b w:val="false"/>
        <w:bCs w:val="false"/>
        <w:i w:val="false"/>
        <w:iCs w:val="false"/>
        <w:color w:val="CC2222"/>
        <w:sz w:val="3"/>
        <w:szCs w:val="3"/>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523c6c31393f3cdc13250fe1e11c308e41af1241.png"/><Relationship Id="rId14" Type="http://schemas.openxmlformats.org/officeDocument/2006/relationships/image" Target="media/378e1661ca7f280b247b8c000987895caed2c81c.png"/><Relationship Id="rId15" Type="http://schemas.openxmlformats.org/officeDocument/2006/relationships/image" Target="media/722659fae674e768e405c1b7f7bb72841b7bfea0.png"/><Relationship Id="rId16" Type="http://schemas.openxmlformats.org/officeDocument/2006/relationships/image" Target="media/cca20e5e80cae470dd0a38d6d35988a87533bbc5.png"/><Relationship Id="rId17" Type="http://schemas.openxmlformats.org/officeDocument/2006/relationships/image" Target="media/8350ab045d364385d286af54fcbe543485a7cefb.png"/><Relationship Id="rId18" Type="http://schemas.openxmlformats.org/officeDocument/2006/relationships/image" Target="media/de22d5085b62626dda84bae3c2828afb293602d0.png"/><Relationship Id="rId19" Type="http://schemas.openxmlformats.org/officeDocument/2006/relationships/image" Target="media/b7dd134ac8257e24ad57b6e21d7fbe958f4bb2d8.png"/><Relationship Id="rId20" Type="http://schemas.openxmlformats.org/officeDocument/2006/relationships/image" Target="media/4ddb84c29c2cca0a05bf2251da6b5fd7bcdfc541.png"/><Relationship Id="rId21" Type="http://schemas.openxmlformats.org/officeDocument/2006/relationships/image" Target="media/a6e60c5a737aa39aaa975cb15bec6006564ef735.png"/><Relationship Id="rId22" Type="http://schemas.openxmlformats.org/officeDocument/2006/relationships/image" Target="media/3d6ddcdfc039ab217c5dd1eeb8c0263390e99d88.png"/><Relationship Id="rId23" Type="http://schemas.openxmlformats.org/officeDocument/2006/relationships/image" Target="media/b664b28bce827c33dbaddbba2b7ecfa5a6297936.png"/><Relationship Id="rId24" Type="http://schemas.openxmlformats.org/officeDocument/2006/relationships/image" Target="media/d2a3effcdfc4f0f2331ffde7901739f021bca585.png"/><Relationship Id="rId25" Type="http://schemas.openxmlformats.org/officeDocument/2006/relationships/image" Target="media/75447e5fe687a568b2b52f7d92b91872ea4e9dc5.png"/><Relationship Id="rId26" Type="http://schemas.openxmlformats.org/officeDocument/2006/relationships/image" Target="media/c9f569cc4bd28f854e3548002150f148428be07d.png"/><Relationship Id="rId27" Type="http://schemas.openxmlformats.org/officeDocument/2006/relationships/image" Target="media/25811b80dd7af9d40dea24f2063e2ad602407f19.png"/><Relationship Id="rId28" Type="http://schemas.openxmlformats.org/officeDocument/2006/relationships/image" Target="media/9e7fec240fe5cbbe6291a966f69df72e661113ab.png"/><Relationship Id="rId29" Type="http://schemas.openxmlformats.org/officeDocument/2006/relationships/image" Target="media/b4f0304634eb8a66174b916020a2a9b5563b2e61.png"/><Relationship Id="rId30" Type="http://schemas.openxmlformats.org/officeDocument/2006/relationships/image" Target="media/5ca4ff61c6e670446088e1ef22aefb401e3cdd90.png"/><Relationship Id="rId31" Type="http://schemas.openxmlformats.org/officeDocument/2006/relationships/image" Target="media/3a9415c095d8547bff8ddd73c5b62be26c1e5454.png"/><Relationship Id="rId32" Type="http://schemas.openxmlformats.org/officeDocument/2006/relationships/image" Target="media/7d4cdb073e8e1b8f3bff97b0ce435172d399f721.png"/><Relationship Id="rId33" Type="http://schemas.openxmlformats.org/officeDocument/2006/relationships/image" Target="media/270b53017990e4ca00cb1da3b2586536e70c76e2.png"/><Relationship Id="rId34" Type="http://schemas.openxmlformats.org/officeDocument/2006/relationships/image" Target="media/e3aa641f31922c6e5eae00187e2b24dbb911519d.png"/><Relationship Id="rId35" Type="http://schemas.openxmlformats.org/officeDocument/2006/relationships/image" Target="media/9af85015fe24a981982d1d06b93eac1b7a4ac8ca.png"/><Relationship Id="rId36" Type="http://schemas.openxmlformats.org/officeDocument/2006/relationships/image" Target="media/0c44490219f0b6f1ea4022cbbf30e1f7509c2a5a.png"/><Relationship Id="rId37" Type="http://schemas.openxmlformats.org/officeDocument/2006/relationships/image" Target="media/93abb3eb4493e7fb004dee9be517215d5c6f1bd5.png"/><Relationship Id="rId38" Type="http://schemas.openxmlformats.org/officeDocument/2006/relationships/image" Target="media/56cb292b7a1e54fb7dc8a88d2c63e463487acdf8.png"/><Relationship Id="rId39" Type="http://schemas.openxmlformats.org/officeDocument/2006/relationships/image" Target="media/c48ec290cd3295d3ec996e3f901ec60441d6e931.png"/><Relationship Id="rId40" Type="http://schemas.openxmlformats.org/officeDocument/2006/relationships/image" Target="media/77637d54acb8c75ad7c4dd7c1a8fd9b7ddca9f7f.png"/><Relationship Id="rId41" Type="http://schemas.openxmlformats.org/officeDocument/2006/relationships/image" Target="media/7cd79aae921a56d790b8614d51ee5e9628ea9343.png"/><Relationship Id="rId42" Type="http://schemas.openxmlformats.org/officeDocument/2006/relationships/image" Target="media/cb5b8fbe09f1a2b75c112c73ac5700e036a5caf9.png"/><Relationship Id="rId43" Type="http://schemas.openxmlformats.org/officeDocument/2006/relationships/image" Target="media/ec7b07d99c8de3f98c50a128682471b8f520d9ff.png"/><Relationship Id="rId44" Type="http://schemas.openxmlformats.org/officeDocument/2006/relationships/image" Target="media/6ff4ca80a1c7c16fecbf3e2827bb3569e6d40c6b.png"/><Relationship Id="rId4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2026-05-25T01:05:34.880Z</dcterms:created>
  <dcterms:modified xsi:type="dcterms:W3CDTF">2026-05-25T01:05:34.885Z</dcterms:modified>
</cp:coreProperties>
</file>

<file path=docProps/custom.xml><?xml version="1.0" encoding="utf-8"?>
<Properties xmlns="http://schemas.openxmlformats.org/officeDocument/2006/custom-properties" xmlns:vt="http://schemas.openxmlformats.org/officeDocument/2006/docPropsVTypes"/>
</file>